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360" w:lineRule="auto"/>
        <w:rPr>
          <w:rFonts w:ascii="仿宋" w:hAnsi="仿宋" w:eastAsia="仿宋" w:cs="仿宋"/>
          <w:b/>
          <w:bCs/>
          <w:color w:val="auto"/>
          <w:sz w:val="24"/>
          <w:szCs w:val="24"/>
          <w:highlight w:val="none"/>
        </w:rPr>
      </w:pPr>
    </w:p>
    <w:p>
      <w:pPr>
        <w:spacing w:line="360" w:lineRule="auto"/>
        <w:ind w:left="803" w:hanging="800" w:hangingChars="200"/>
        <w:jc w:val="center"/>
        <w:rPr>
          <w:rFonts w:ascii="仿宋" w:hAnsi="仿宋" w:eastAsia="仿宋" w:cs="仿宋"/>
          <w:b/>
          <w:bCs/>
          <w:color w:val="auto"/>
          <w:sz w:val="40"/>
          <w:szCs w:val="40"/>
          <w:highlight w:val="none"/>
        </w:rPr>
      </w:pPr>
      <w:r>
        <w:rPr>
          <w:rFonts w:hint="eastAsia" w:ascii="仿宋" w:hAnsi="仿宋" w:eastAsia="仿宋" w:cs="仿宋"/>
          <w:b/>
          <w:bCs/>
          <w:color w:val="auto"/>
          <w:sz w:val="40"/>
          <w:szCs w:val="40"/>
          <w:highlight w:val="none"/>
        </w:rPr>
        <w:t>苏锡通园区低效用地再开发“十四五”专项规划和年度实施计划编制工作采购项目</w:t>
      </w:r>
    </w:p>
    <w:p>
      <w:pPr>
        <w:spacing w:line="360" w:lineRule="auto"/>
        <w:ind w:left="803" w:hanging="800" w:hangingChars="200"/>
        <w:jc w:val="center"/>
        <w:rPr>
          <w:rFonts w:ascii="仿宋" w:hAnsi="仿宋" w:eastAsia="仿宋" w:cs="仿宋"/>
          <w:b/>
          <w:bCs/>
          <w:color w:val="auto"/>
          <w:sz w:val="40"/>
          <w:szCs w:val="40"/>
          <w:highlight w:val="none"/>
        </w:rPr>
      </w:pPr>
    </w:p>
    <w:p>
      <w:pPr>
        <w:spacing w:line="360" w:lineRule="auto"/>
        <w:ind w:left="803" w:hanging="800" w:hangingChars="200"/>
        <w:jc w:val="center"/>
        <w:rPr>
          <w:rFonts w:ascii="仿宋" w:hAnsi="仿宋" w:eastAsia="仿宋" w:cs="仿宋"/>
          <w:b/>
          <w:bCs/>
          <w:color w:val="auto"/>
          <w:sz w:val="40"/>
          <w:szCs w:val="40"/>
          <w:highlight w:val="none"/>
        </w:rPr>
      </w:pPr>
    </w:p>
    <w:p>
      <w:pPr>
        <w:spacing w:line="360" w:lineRule="auto"/>
        <w:ind w:left="803" w:hanging="800" w:hangingChars="200"/>
        <w:jc w:val="center"/>
        <w:rPr>
          <w:rFonts w:ascii="仿宋" w:hAnsi="仿宋" w:eastAsia="仿宋" w:cs="仿宋"/>
          <w:b/>
          <w:bCs/>
          <w:color w:val="auto"/>
          <w:sz w:val="40"/>
          <w:szCs w:val="40"/>
          <w:highlight w:val="none"/>
        </w:rPr>
      </w:pPr>
      <w:r>
        <w:rPr>
          <w:rFonts w:hint="eastAsia" w:ascii="仿宋" w:hAnsi="仿宋" w:eastAsia="仿宋" w:cs="仿宋"/>
          <w:b/>
          <w:bCs/>
          <w:color w:val="auto"/>
          <w:sz w:val="40"/>
          <w:szCs w:val="40"/>
          <w:highlight w:val="none"/>
        </w:rPr>
        <w:t>竞争性磋商文件</w:t>
      </w:r>
    </w:p>
    <w:p>
      <w:pPr>
        <w:pStyle w:val="66"/>
        <w:ind w:firstLine="0"/>
        <w:rPr>
          <w:rFonts w:ascii="仿宋" w:hAnsi="仿宋" w:eastAsia="仿宋" w:cs="仿宋"/>
          <w:b/>
          <w:bCs/>
          <w:color w:val="auto"/>
          <w:sz w:val="40"/>
          <w:szCs w:val="40"/>
          <w:highlight w:val="none"/>
        </w:rPr>
      </w:pPr>
    </w:p>
    <w:p>
      <w:pPr>
        <w:spacing w:line="360" w:lineRule="auto"/>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项目编号：NTXYCS2022092</w:t>
      </w:r>
    </w:p>
    <w:p>
      <w:pPr>
        <w:pStyle w:val="66"/>
        <w:ind w:firstLine="1800" w:firstLineChars="500"/>
        <w:rPr>
          <w:rFonts w:ascii="仿宋" w:hAnsi="仿宋" w:eastAsia="仿宋" w:cs="仿宋"/>
          <w:b/>
          <w:bCs/>
          <w:color w:val="auto"/>
          <w:sz w:val="36"/>
          <w:szCs w:val="36"/>
          <w:highlight w:val="none"/>
        </w:rPr>
      </w:pPr>
    </w:p>
    <w:p>
      <w:pPr>
        <w:pStyle w:val="66"/>
        <w:ind w:firstLine="0"/>
        <w:jc w:val="center"/>
        <w:rPr>
          <w:rFonts w:ascii="仿宋" w:hAnsi="仿宋" w:eastAsia="仿宋" w:cs="仿宋"/>
          <w:b/>
          <w:bCs/>
          <w:color w:val="auto"/>
          <w:sz w:val="40"/>
          <w:szCs w:val="40"/>
          <w:highlight w:val="none"/>
        </w:rPr>
      </w:pPr>
    </w:p>
    <w:p>
      <w:pPr>
        <w:pStyle w:val="66"/>
        <w:ind w:firstLine="0"/>
        <w:jc w:val="center"/>
        <w:rPr>
          <w:rFonts w:ascii="仿宋" w:hAnsi="仿宋" w:eastAsia="仿宋" w:cs="仿宋"/>
          <w:b/>
          <w:bCs/>
          <w:color w:val="auto"/>
          <w:sz w:val="40"/>
          <w:szCs w:val="40"/>
          <w:highlight w:val="none"/>
        </w:rPr>
      </w:pPr>
    </w:p>
    <w:p>
      <w:pPr>
        <w:pStyle w:val="66"/>
        <w:ind w:firstLine="0"/>
        <w:jc w:val="center"/>
        <w:rPr>
          <w:rFonts w:ascii="仿宋" w:hAnsi="仿宋" w:eastAsia="仿宋" w:cs="仿宋"/>
          <w:b/>
          <w:bCs/>
          <w:color w:val="auto"/>
          <w:sz w:val="40"/>
          <w:szCs w:val="40"/>
          <w:highlight w:val="none"/>
        </w:rPr>
      </w:pPr>
    </w:p>
    <w:p>
      <w:pPr>
        <w:pStyle w:val="66"/>
        <w:ind w:firstLine="0"/>
        <w:jc w:val="center"/>
        <w:rPr>
          <w:rFonts w:ascii="仿宋" w:hAnsi="仿宋" w:eastAsia="仿宋" w:cs="仿宋"/>
          <w:b/>
          <w:bCs/>
          <w:color w:val="auto"/>
          <w:sz w:val="40"/>
          <w:szCs w:val="40"/>
          <w:highlight w:val="none"/>
        </w:rPr>
      </w:pPr>
    </w:p>
    <w:p>
      <w:pPr>
        <w:pStyle w:val="66"/>
        <w:ind w:firstLine="0"/>
        <w:jc w:val="center"/>
        <w:rPr>
          <w:rFonts w:ascii="仿宋" w:hAnsi="仿宋" w:eastAsia="仿宋" w:cs="仿宋"/>
          <w:b/>
          <w:bCs/>
          <w:color w:val="auto"/>
          <w:sz w:val="40"/>
          <w:szCs w:val="40"/>
          <w:highlight w:val="none"/>
        </w:rPr>
      </w:pPr>
    </w:p>
    <w:p>
      <w:pPr>
        <w:pStyle w:val="66"/>
        <w:ind w:firstLine="0"/>
        <w:jc w:val="center"/>
        <w:rPr>
          <w:rFonts w:ascii="仿宋" w:hAnsi="仿宋" w:eastAsia="仿宋" w:cs="仿宋"/>
          <w:b/>
          <w:bCs/>
          <w:color w:val="auto"/>
          <w:sz w:val="40"/>
          <w:szCs w:val="40"/>
          <w:highlight w:val="none"/>
        </w:rPr>
      </w:pPr>
    </w:p>
    <w:p>
      <w:pPr>
        <w:pStyle w:val="66"/>
        <w:ind w:firstLine="0"/>
        <w:jc w:val="center"/>
        <w:rPr>
          <w:rFonts w:ascii="仿宋" w:hAnsi="仿宋" w:eastAsia="仿宋" w:cs="仿宋"/>
          <w:b/>
          <w:bCs/>
          <w:color w:val="auto"/>
          <w:sz w:val="40"/>
          <w:szCs w:val="40"/>
          <w:highlight w:val="none"/>
        </w:rPr>
      </w:pPr>
    </w:p>
    <w:p>
      <w:pPr>
        <w:pStyle w:val="66"/>
        <w:ind w:firstLine="0"/>
        <w:rPr>
          <w:rFonts w:ascii="仿宋" w:hAnsi="仿宋" w:eastAsia="仿宋" w:cs="仿宋"/>
          <w:b/>
          <w:bCs/>
          <w:color w:val="auto"/>
          <w:w w:val="95"/>
          <w:sz w:val="32"/>
          <w:szCs w:val="32"/>
          <w:highlight w:val="none"/>
          <w:u w:val="single"/>
        </w:rPr>
      </w:pPr>
      <w:r>
        <w:rPr>
          <w:rFonts w:hint="eastAsia" w:ascii="仿宋" w:hAnsi="仿宋" w:eastAsia="仿宋" w:cs="仿宋"/>
          <w:b/>
          <w:bCs/>
          <w:color w:val="auto"/>
          <w:sz w:val="32"/>
          <w:szCs w:val="32"/>
          <w:highlight w:val="none"/>
        </w:rPr>
        <w:t>采  购   人 :</w:t>
      </w:r>
      <w:r>
        <w:rPr>
          <w:rFonts w:hint="eastAsia" w:ascii="仿宋" w:hAnsi="仿宋" w:eastAsia="仿宋" w:cs="仿宋"/>
          <w:b/>
          <w:bCs/>
          <w:color w:val="auto"/>
          <w:w w:val="95"/>
          <w:sz w:val="32"/>
          <w:szCs w:val="32"/>
          <w:highlight w:val="none"/>
          <w:u w:val="single"/>
        </w:rPr>
        <w:t xml:space="preserve">南通市自然资源和规划局苏锡通园区分局 </w:t>
      </w:r>
    </w:p>
    <w:p>
      <w:pPr>
        <w:pStyle w:val="66"/>
        <w:ind w:firstLine="0"/>
        <w:rPr>
          <w:rFonts w:ascii="仿宋" w:hAnsi="仿宋" w:eastAsia="仿宋" w:cs="仿宋"/>
          <w:b/>
          <w:bCs/>
          <w:color w:val="auto"/>
          <w:sz w:val="32"/>
          <w:szCs w:val="32"/>
          <w:highlight w:val="none"/>
          <w:u w:val="single"/>
        </w:rPr>
      </w:pPr>
      <w:r>
        <w:rPr>
          <w:rFonts w:hint="eastAsia" w:ascii="仿宋" w:hAnsi="仿宋" w:eastAsia="仿宋" w:cs="仿宋"/>
          <w:b/>
          <w:bCs/>
          <w:color w:val="auto"/>
          <w:sz w:val="32"/>
          <w:szCs w:val="32"/>
          <w:highlight w:val="none"/>
        </w:rPr>
        <w:t>招标代理机构:</w:t>
      </w:r>
      <w:r>
        <w:rPr>
          <w:rFonts w:hint="eastAsia" w:ascii="仿宋" w:hAnsi="仿宋" w:eastAsia="仿宋" w:cs="仿宋"/>
          <w:b/>
          <w:bCs/>
          <w:color w:val="auto"/>
          <w:sz w:val="32"/>
          <w:szCs w:val="32"/>
          <w:highlight w:val="none"/>
          <w:u w:val="single"/>
        </w:rPr>
        <w:t xml:space="preserve"> 苏州新一造价师价格事务所有限公司  </w:t>
      </w:r>
    </w:p>
    <w:p>
      <w:pPr>
        <w:pStyle w:val="66"/>
        <w:ind w:firstLine="0"/>
        <w:rPr>
          <w:rFonts w:ascii="仿宋" w:hAnsi="仿宋" w:eastAsia="仿宋" w:cs="仿宋"/>
          <w:b/>
          <w:bCs/>
          <w:color w:val="auto"/>
          <w:sz w:val="32"/>
          <w:szCs w:val="32"/>
          <w:highlight w:val="none"/>
          <w:u w:val="single"/>
        </w:rPr>
      </w:pPr>
      <w:r>
        <w:rPr>
          <w:rFonts w:hint="eastAsia" w:ascii="仿宋" w:hAnsi="仿宋" w:eastAsia="仿宋" w:cs="仿宋"/>
          <w:b/>
          <w:bCs/>
          <w:color w:val="auto"/>
          <w:sz w:val="32"/>
          <w:szCs w:val="32"/>
          <w:highlight w:val="none"/>
        </w:rPr>
        <w:t>日       期 :</w:t>
      </w:r>
      <w:r>
        <w:rPr>
          <w:rFonts w:hint="eastAsia" w:ascii="仿宋" w:hAnsi="仿宋" w:eastAsia="仿宋" w:cs="仿宋"/>
          <w:b/>
          <w:bCs/>
          <w:color w:val="auto"/>
          <w:sz w:val="32"/>
          <w:szCs w:val="32"/>
          <w:highlight w:val="none"/>
          <w:u w:val="single"/>
        </w:rPr>
        <w:t xml:space="preserve">       2022年</w:t>
      </w:r>
      <w:r>
        <w:rPr>
          <w:rFonts w:hint="eastAsia" w:ascii="仿宋" w:hAnsi="仿宋" w:eastAsia="仿宋" w:cs="仿宋"/>
          <w:b/>
          <w:bCs/>
          <w:color w:val="auto"/>
          <w:sz w:val="32"/>
          <w:szCs w:val="32"/>
          <w:highlight w:val="none"/>
          <w:u w:val="single"/>
          <w:lang w:val="en-US" w:eastAsia="zh-CN"/>
        </w:rPr>
        <w:t>9</w:t>
      </w:r>
      <w:r>
        <w:rPr>
          <w:rFonts w:hint="eastAsia" w:ascii="仿宋" w:hAnsi="仿宋" w:eastAsia="仿宋" w:cs="仿宋"/>
          <w:b/>
          <w:bCs/>
          <w:color w:val="auto"/>
          <w:sz w:val="32"/>
          <w:szCs w:val="32"/>
          <w:highlight w:val="none"/>
          <w:u w:val="single"/>
        </w:rPr>
        <w:t>月</w:t>
      </w:r>
      <w:r>
        <w:rPr>
          <w:rFonts w:hint="eastAsia" w:ascii="仿宋" w:hAnsi="仿宋" w:eastAsia="仿宋" w:cs="仿宋"/>
          <w:b/>
          <w:bCs/>
          <w:color w:val="auto"/>
          <w:sz w:val="32"/>
          <w:szCs w:val="32"/>
          <w:highlight w:val="none"/>
          <w:u w:val="single"/>
          <w:lang w:val="en-US" w:eastAsia="zh-CN"/>
        </w:rPr>
        <w:t>22</w:t>
      </w:r>
      <w:r>
        <w:rPr>
          <w:rFonts w:hint="eastAsia" w:ascii="仿宋" w:hAnsi="仿宋" w:eastAsia="仿宋" w:cs="仿宋"/>
          <w:b/>
          <w:bCs/>
          <w:color w:val="auto"/>
          <w:sz w:val="32"/>
          <w:szCs w:val="32"/>
          <w:highlight w:val="none"/>
          <w:u w:val="single"/>
        </w:rPr>
        <w:t xml:space="preserve">日            </w:t>
      </w:r>
    </w:p>
    <w:p>
      <w:pPr>
        <w:pStyle w:val="66"/>
        <w:ind w:firstLine="0"/>
        <w:jc w:val="both"/>
        <w:rPr>
          <w:rFonts w:ascii="仿宋" w:hAnsi="仿宋" w:eastAsia="仿宋" w:cs="仿宋"/>
          <w:b/>
          <w:bCs/>
          <w:color w:val="auto"/>
          <w:highlight w:val="none"/>
        </w:rPr>
      </w:pPr>
    </w:p>
    <w:p>
      <w:pPr>
        <w:widowControl/>
        <w:spacing w:line="360" w:lineRule="auto"/>
        <w:jc w:val="center"/>
        <w:rPr>
          <w:rFonts w:hint="eastAsia" w:ascii="仿宋" w:hAnsi="仿宋" w:eastAsia="仿宋" w:cs="仿宋"/>
          <w:b/>
          <w:bCs/>
          <w:sz w:val="32"/>
          <w:szCs w:val="32"/>
        </w:rPr>
      </w:pPr>
      <w:bookmarkStart w:id="0" w:name="_Toc415233241"/>
      <w:bookmarkEnd w:id="0"/>
      <w:bookmarkStart w:id="1" w:name="_Toc438651106"/>
      <w:bookmarkEnd w:id="1"/>
      <w:r>
        <w:rPr>
          <w:rFonts w:hint="eastAsia" w:ascii="仿宋" w:hAnsi="仿宋" w:eastAsia="仿宋" w:cs="仿宋"/>
          <w:b/>
          <w:bCs/>
          <w:kern w:val="0"/>
          <w:sz w:val="32"/>
          <w:szCs w:val="32"/>
        </w:rPr>
        <w:t>竞争性磋商文件备案表</w:t>
      </w:r>
    </w:p>
    <w:tbl>
      <w:tblPr>
        <w:tblStyle w:val="22"/>
        <w:tblW w:w="87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87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912" w:hRule="atLeast"/>
          <w:jc w:val="center"/>
        </w:trPr>
        <w:tc>
          <w:tcPr>
            <w:tcW w:w="8720" w:type="dxa"/>
            <w:tcBorders>
              <w:top w:val="single" w:color="auto" w:sz="4" w:space="0"/>
              <w:bottom w:val="single" w:color="auto" w:sz="4" w:space="0"/>
            </w:tcBorders>
            <w:noWrap w:val="0"/>
            <w:vAlign w:val="top"/>
          </w:tcPr>
          <w:p>
            <w:pPr>
              <w:tabs>
                <w:tab w:val="left" w:pos="5070"/>
              </w:tabs>
              <w:spacing w:line="360" w:lineRule="auto"/>
              <w:ind w:firstLine="3600" w:firstLineChars="1500"/>
              <w:rPr>
                <w:rFonts w:hint="eastAsia" w:ascii="仿宋" w:hAnsi="仿宋" w:eastAsia="仿宋" w:cs="仿宋"/>
                <w:sz w:val="24"/>
                <w:szCs w:val="24"/>
              </w:rPr>
            </w:pPr>
          </w:p>
          <w:p>
            <w:pPr>
              <w:pStyle w:val="21"/>
              <w:ind w:firstLine="480"/>
              <w:rPr>
                <w:rFonts w:hint="eastAsia" w:ascii="仿宋" w:hAnsi="仿宋" w:eastAsia="仿宋" w:cs="仿宋"/>
                <w:sz w:val="24"/>
                <w:szCs w:val="24"/>
              </w:rPr>
            </w:pPr>
          </w:p>
          <w:p>
            <w:pPr>
              <w:rPr>
                <w:rFonts w:hint="eastAsia" w:ascii="仿宋" w:hAnsi="仿宋" w:eastAsia="仿宋" w:cs="仿宋"/>
                <w:sz w:val="24"/>
                <w:szCs w:val="24"/>
              </w:rPr>
            </w:pPr>
          </w:p>
          <w:p>
            <w:pPr>
              <w:pStyle w:val="39"/>
              <w:rPr>
                <w:rFonts w:hint="eastAsia"/>
              </w:rPr>
            </w:pPr>
          </w:p>
          <w:p>
            <w:pPr>
              <w:tabs>
                <w:tab w:val="left" w:pos="5070"/>
              </w:tabs>
              <w:spacing w:line="360" w:lineRule="auto"/>
              <w:ind w:firstLine="5280" w:firstLineChars="2200"/>
              <w:rPr>
                <w:rFonts w:hint="eastAsia" w:ascii="仿宋" w:hAnsi="仿宋" w:eastAsia="仿宋" w:cs="仿宋"/>
                <w:sz w:val="24"/>
                <w:szCs w:val="24"/>
              </w:rPr>
            </w:pPr>
            <w:r>
              <w:rPr>
                <w:rFonts w:hint="eastAsia" w:ascii="仿宋" w:hAnsi="仿宋" w:eastAsia="仿宋" w:cs="仿宋"/>
                <w:sz w:val="24"/>
                <w:szCs w:val="24"/>
              </w:rPr>
              <w:t xml:space="preserve">编制人： </w:t>
            </w:r>
            <w:r>
              <w:rPr>
                <w:rFonts w:hint="eastAsia" w:ascii="仿宋" w:hAnsi="仿宋" w:eastAsia="仿宋" w:cs="仿宋"/>
                <w:sz w:val="24"/>
                <w:szCs w:val="24"/>
                <w:lang w:val="en-US" w:eastAsia="zh-CN"/>
              </w:rPr>
              <w:t>张秋燕</w:t>
            </w:r>
            <w:r>
              <w:rPr>
                <w:rFonts w:hint="eastAsia" w:ascii="仿宋" w:hAnsi="仿宋" w:eastAsia="仿宋" w:cs="仿宋"/>
                <w:sz w:val="24"/>
                <w:szCs w:val="24"/>
              </w:rPr>
              <w:t xml:space="preserve">                    </w:t>
            </w: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 xml:space="preserve">                              日期： 2022年9月 </w:t>
            </w:r>
            <w:r>
              <w:rPr>
                <w:rFonts w:hint="eastAsia" w:ascii="仿宋" w:hAnsi="仿宋" w:eastAsia="仿宋" w:cs="仿宋"/>
                <w:sz w:val="24"/>
                <w:szCs w:val="24"/>
                <w:lang w:val="en-US" w:eastAsia="zh-CN"/>
              </w:rPr>
              <w:t>22</w:t>
            </w:r>
            <w:r>
              <w:rPr>
                <w:rFonts w:hint="eastAsia" w:ascii="仿宋" w:hAnsi="仿宋" w:eastAsia="仿宋" w:cs="仿宋"/>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088" w:hRule="atLeast"/>
          <w:jc w:val="center"/>
        </w:trPr>
        <w:tc>
          <w:tcPr>
            <w:tcW w:w="8720" w:type="dxa"/>
            <w:tcBorders>
              <w:top w:val="single" w:color="auto" w:sz="4" w:space="0"/>
              <w:bottom w:val="single" w:color="auto" w:sz="4" w:space="0"/>
            </w:tcBorders>
            <w:noWrap w:val="0"/>
            <w:vAlign w:val="top"/>
          </w:tcPr>
          <w:p>
            <w:pPr>
              <w:pStyle w:val="21"/>
              <w:spacing w:line="360" w:lineRule="auto"/>
              <w:ind w:firstLine="0" w:firstLineChars="0"/>
              <w:rPr>
                <w:rFonts w:hint="eastAsia" w:ascii="仿宋" w:hAnsi="仿宋" w:eastAsia="仿宋" w:cs="仿宋"/>
                <w:sz w:val="24"/>
                <w:szCs w:val="24"/>
              </w:rPr>
            </w:pPr>
          </w:p>
          <w:p>
            <w:pPr>
              <w:spacing w:line="360" w:lineRule="auto"/>
              <w:ind w:firstLine="720" w:firstLineChars="300"/>
              <w:rPr>
                <w:rFonts w:hint="eastAsia" w:ascii="仿宋" w:hAnsi="仿宋" w:eastAsia="仿宋" w:cs="仿宋"/>
                <w:sz w:val="24"/>
                <w:szCs w:val="24"/>
              </w:rPr>
            </w:pPr>
          </w:p>
          <w:p>
            <w:pPr>
              <w:spacing w:line="360" w:lineRule="auto"/>
              <w:ind w:firstLine="720" w:firstLineChars="300"/>
              <w:rPr>
                <w:rFonts w:hint="eastAsia" w:ascii="仿宋" w:hAnsi="仿宋" w:eastAsia="仿宋" w:cs="仿宋"/>
                <w:sz w:val="24"/>
                <w:szCs w:val="24"/>
              </w:rPr>
            </w:pPr>
          </w:p>
          <w:p>
            <w:pPr>
              <w:pStyle w:val="39"/>
              <w:rPr>
                <w:rFonts w:hint="eastAsia" w:ascii="仿宋" w:hAnsi="仿宋" w:eastAsia="仿宋" w:cs="仿宋"/>
                <w:sz w:val="24"/>
              </w:rPr>
            </w:pPr>
          </w:p>
          <w:p>
            <w:pPr>
              <w:pStyle w:val="39"/>
              <w:rPr>
                <w:rFonts w:hint="eastAsia" w:ascii="仿宋" w:hAnsi="仿宋" w:eastAsia="仿宋" w:cs="仿宋"/>
                <w:sz w:val="24"/>
              </w:rPr>
            </w:pPr>
          </w:p>
          <w:p>
            <w:pPr>
              <w:spacing w:line="360" w:lineRule="auto"/>
              <w:ind w:firstLine="720" w:firstLineChars="300"/>
              <w:rPr>
                <w:rFonts w:hint="eastAsia" w:ascii="仿宋" w:hAnsi="仿宋" w:eastAsia="仿宋" w:cs="仿宋"/>
                <w:sz w:val="24"/>
                <w:szCs w:val="24"/>
              </w:rPr>
            </w:pPr>
            <w:r>
              <w:rPr>
                <w:rFonts w:hint="eastAsia" w:ascii="仿宋" w:hAnsi="仿宋" w:eastAsia="仿宋" w:cs="仿宋"/>
                <w:sz w:val="24"/>
                <w:szCs w:val="24"/>
              </w:rPr>
              <w:t>采购人(盖章)             法定代表人(签字或盖章)</w:t>
            </w:r>
          </w:p>
          <w:p>
            <w:pPr>
              <w:rPr>
                <w:rFonts w:hint="eastAsia" w:ascii="仿宋" w:hAnsi="仿宋" w:eastAsia="仿宋" w:cs="仿宋"/>
                <w:sz w:val="24"/>
                <w:szCs w:val="24"/>
              </w:rPr>
            </w:pPr>
          </w:p>
          <w:p>
            <w:pPr>
              <w:rPr>
                <w:rFonts w:hint="eastAsia" w:ascii="仿宋" w:hAnsi="仿宋" w:eastAsia="仿宋" w:cs="仿宋"/>
                <w:sz w:val="24"/>
                <w:szCs w:val="24"/>
              </w:rPr>
            </w:pPr>
          </w:p>
          <w:p>
            <w:pPr>
              <w:pStyle w:val="39"/>
              <w:rPr>
                <w:rFonts w:hint="eastAsia" w:ascii="仿宋" w:hAnsi="仿宋" w:eastAsia="仿宋" w:cs="仿宋"/>
                <w:sz w:val="24"/>
              </w:rPr>
            </w:pPr>
          </w:p>
          <w:p>
            <w:pPr>
              <w:pStyle w:val="39"/>
              <w:rPr>
                <w:rFonts w:hint="eastAsia" w:ascii="仿宋" w:hAnsi="仿宋" w:eastAsia="仿宋" w:cs="仿宋"/>
                <w:sz w:val="24"/>
              </w:rPr>
            </w:pPr>
          </w:p>
          <w:p>
            <w:pPr>
              <w:pStyle w:val="39"/>
              <w:rPr>
                <w:rFonts w:hint="eastAsia" w:ascii="仿宋" w:hAnsi="仿宋" w:eastAsia="仿宋" w:cs="仿宋"/>
                <w:sz w:val="24"/>
              </w:rPr>
            </w:pPr>
          </w:p>
          <w:p>
            <w:pPr>
              <w:pStyle w:val="21"/>
              <w:ind w:firstLine="480"/>
              <w:rPr>
                <w:rFonts w:hint="eastAsia" w:ascii="仿宋" w:hAnsi="仿宋" w:eastAsia="仿宋" w:cs="仿宋"/>
                <w:sz w:val="24"/>
                <w:szCs w:val="24"/>
              </w:rPr>
            </w:pPr>
          </w:p>
          <w:p>
            <w:pPr>
              <w:rPr>
                <w:rFonts w:hint="eastAsia" w:ascii="仿宋" w:hAnsi="仿宋" w:eastAsia="仿宋" w:cs="仿宋"/>
                <w:sz w:val="24"/>
                <w:szCs w:val="24"/>
              </w:rPr>
            </w:pPr>
          </w:p>
          <w:p>
            <w:pPr>
              <w:pStyle w:val="61"/>
              <w:ind w:firstLine="480"/>
              <w:rPr>
                <w:rFonts w:hint="eastAsia" w:ascii="仿宋" w:hAnsi="仿宋" w:eastAsia="仿宋" w:cs="仿宋"/>
                <w:sz w:val="24"/>
                <w:szCs w:val="24"/>
              </w:rPr>
            </w:pPr>
          </w:p>
          <w:p>
            <w:pPr>
              <w:spacing w:line="360" w:lineRule="auto"/>
              <w:ind w:firstLine="720" w:firstLineChars="300"/>
              <w:rPr>
                <w:rFonts w:hint="eastAsia" w:ascii="仿宋" w:hAnsi="仿宋" w:eastAsia="仿宋" w:cs="仿宋"/>
                <w:sz w:val="24"/>
                <w:szCs w:val="24"/>
              </w:rPr>
            </w:pPr>
          </w:p>
          <w:p>
            <w:pPr>
              <w:spacing w:line="360" w:lineRule="auto"/>
              <w:ind w:firstLine="720" w:firstLineChars="300"/>
              <w:rPr>
                <w:rFonts w:hint="eastAsia" w:ascii="仿宋" w:hAnsi="仿宋" w:eastAsia="仿宋" w:cs="仿宋"/>
                <w:sz w:val="24"/>
                <w:szCs w:val="24"/>
              </w:rPr>
            </w:pPr>
            <w:r>
              <w:rPr>
                <w:rFonts w:hint="eastAsia" w:ascii="仿宋" w:hAnsi="仿宋" w:eastAsia="仿宋" w:cs="仿宋"/>
                <w:sz w:val="24"/>
                <w:szCs w:val="24"/>
              </w:rPr>
              <w:t>招标代理机构(盖章)        法定代表人(签字或盖章)</w:t>
            </w:r>
          </w:p>
          <w:p>
            <w:pPr>
              <w:spacing w:line="360" w:lineRule="auto"/>
              <w:ind w:firstLine="4560" w:firstLineChars="1900"/>
              <w:rPr>
                <w:rFonts w:hint="eastAsia" w:ascii="仿宋" w:hAnsi="仿宋" w:eastAsia="仿宋" w:cs="仿宋"/>
                <w:sz w:val="24"/>
                <w:szCs w:val="24"/>
              </w:rPr>
            </w:pPr>
          </w:p>
          <w:p>
            <w:pPr>
              <w:spacing w:line="360" w:lineRule="auto"/>
              <w:ind w:firstLine="4560" w:firstLineChars="1900"/>
              <w:rPr>
                <w:rFonts w:hint="eastAsia" w:ascii="仿宋" w:hAnsi="仿宋" w:eastAsia="仿宋" w:cs="仿宋"/>
                <w:sz w:val="24"/>
                <w:szCs w:val="24"/>
              </w:rPr>
            </w:pPr>
            <w:r>
              <w:rPr>
                <w:rFonts w:hint="eastAsia" w:ascii="仿宋" w:hAnsi="仿宋" w:eastAsia="仿宋" w:cs="仿宋"/>
                <w:sz w:val="24"/>
                <w:szCs w:val="24"/>
              </w:rPr>
              <w:t>日期：2022年9月</w:t>
            </w:r>
            <w:r>
              <w:rPr>
                <w:rFonts w:hint="eastAsia" w:ascii="仿宋" w:hAnsi="仿宋" w:eastAsia="仿宋" w:cs="仿宋"/>
                <w:sz w:val="24"/>
                <w:szCs w:val="24"/>
                <w:lang w:val="en-US" w:eastAsia="zh-CN"/>
              </w:rPr>
              <w:t>22</w:t>
            </w:r>
            <w:r>
              <w:rPr>
                <w:rFonts w:hint="eastAsia" w:ascii="仿宋" w:hAnsi="仿宋" w:eastAsia="仿宋" w:cs="仿宋"/>
                <w:sz w:val="24"/>
                <w:szCs w:val="24"/>
              </w:rPr>
              <w:t>日</w:t>
            </w:r>
          </w:p>
          <w:p>
            <w:pPr>
              <w:pStyle w:val="39"/>
              <w:rPr>
                <w:rFonts w:hint="eastAsia" w:ascii="仿宋" w:hAnsi="仿宋" w:eastAsia="仿宋" w:cs="仿宋"/>
                <w:sz w:val="24"/>
              </w:rPr>
            </w:pPr>
          </w:p>
          <w:p>
            <w:pPr>
              <w:pStyle w:val="39"/>
              <w:rPr>
                <w:rFonts w:hint="eastAsia" w:ascii="仿宋" w:hAnsi="仿宋" w:eastAsia="仿宋" w:cs="仿宋"/>
                <w:sz w:val="24"/>
              </w:rPr>
            </w:pPr>
          </w:p>
          <w:p>
            <w:pPr>
              <w:spacing w:line="360" w:lineRule="auto"/>
              <w:rPr>
                <w:rFonts w:hint="eastAsia" w:ascii="仿宋" w:hAnsi="仿宋" w:eastAsia="仿宋" w:cs="仿宋"/>
                <w:sz w:val="24"/>
                <w:szCs w:val="24"/>
              </w:rPr>
            </w:pPr>
          </w:p>
        </w:tc>
      </w:tr>
    </w:tbl>
    <w:p>
      <w:pPr>
        <w:widowControl/>
        <w:spacing w:line="360" w:lineRule="auto"/>
        <w:jc w:val="center"/>
        <w:rPr>
          <w:rFonts w:ascii="仿宋" w:hAnsi="仿宋" w:eastAsia="仿宋" w:cs="仿宋"/>
          <w:b/>
          <w:bCs/>
          <w:color w:val="auto"/>
          <w:sz w:val="36"/>
          <w:szCs w:val="36"/>
          <w:highlight w:val="none"/>
        </w:rPr>
      </w:pPr>
    </w:p>
    <w:p>
      <w:pPr>
        <w:pStyle w:val="21"/>
        <w:ind w:firstLine="723"/>
        <w:rPr>
          <w:rFonts w:ascii="仿宋" w:hAnsi="仿宋" w:eastAsia="仿宋" w:cs="仿宋"/>
          <w:b/>
          <w:bCs/>
          <w:color w:val="auto"/>
          <w:sz w:val="36"/>
          <w:szCs w:val="36"/>
          <w:highlight w:val="none"/>
        </w:rPr>
      </w:pPr>
    </w:p>
    <w:p>
      <w:pPr>
        <w:pStyle w:val="21"/>
        <w:ind w:left="0" w:leftChars="0" w:firstLine="0" w:firstLineChars="0"/>
        <w:rPr>
          <w:rFonts w:ascii="仿宋" w:hAnsi="仿宋" w:eastAsia="仿宋" w:cs="仿宋"/>
          <w:b/>
          <w:bCs/>
          <w:color w:val="auto"/>
          <w:sz w:val="36"/>
          <w:szCs w:val="36"/>
          <w:highlight w:val="none"/>
        </w:rPr>
      </w:pPr>
    </w:p>
    <w:p>
      <w:pPr>
        <w:rPr>
          <w:rFonts w:ascii="仿宋" w:hAnsi="仿宋" w:eastAsia="仿宋" w:cs="仿宋"/>
          <w:color w:val="auto"/>
          <w:highlight w:val="none"/>
        </w:rPr>
      </w:pPr>
    </w:p>
    <w:p>
      <w:pPr>
        <w:widowControl/>
        <w:spacing w:line="360" w:lineRule="auto"/>
        <w:jc w:val="center"/>
        <w:rPr>
          <w:rFonts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目  录</w:t>
      </w:r>
    </w:p>
    <w:p>
      <w:pPr>
        <w:spacing w:line="360" w:lineRule="auto"/>
        <w:jc w:val="center"/>
        <w:rPr>
          <w:rFonts w:ascii="仿宋" w:hAnsi="仿宋" w:eastAsia="仿宋" w:cs="仿宋"/>
          <w:b/>
          <w:bCs/>
          <w:color w:val="auto"/>
          <w:sz w:val="28"/>
          <w:szCs w:val="28"/>
          <w:highlight w:val="none"/>
        </w:rPr>
      </w:pP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第一章竞争性磋商公告</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第二章磋商须知</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第三章采购合同条款及格式</w:t>
      </w:r>
    </w:p>
    <w:p>
      <w:pPr>
        <w:numPr>
          <w:ilvl w:val="0"/>
          <w:numId w:val="1"/>
        </w:num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项目需求</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第五章资格审查</w:t>
      </w:r>
    </w:p>
    <w:p>
      <w:pPr>
        <w:pStyle w:val="65"/>
        <w:spacing w:line="360" w:lineRule="auto"/>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第六章评审方法和评审标准</w:t>
      </w:r>
    </w:p>
    <w:p>
      <w:pPr>
        <w:pStyle w:val="5"/>
        <w:spacing w:before="0" w:after="0" w:line="360" w:lineRule="auto"/>
        <w:ind w:firstLine="560" w:firstLineChars="200"/>
        <w:jc w:val="left"/>
        <w:rPr>
          <w:rFonts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第七章竞争性供应商响应文件组成</w:t>
      </w:r>
    </w:p>
    <w:p>
      <w:pPr>
        <w:spacing w:line="360" w:lineRule="auto"/>
        <w:rPr>
          <w:rFonts w:ascii="仿宋" w:hAnsi="仿宋" w:eastAsia="仿宋" w:cs="仿宋"/>
          <w:color w:val="auto"/>
          <w:sz w:val="24"/>
          <w:szCs w:val="24"/>
          <w:highlight w:val="none"/>
        </w:rPr>
      </w:pPr>
    </w:p>
    <w:p>
      <w:pPr>
        <w:widowControl/>
        <w:spacing w:line="360" w:lineRule="auto"/>
        <w:jc w:val="left"/>
        <w:rPr>
          <w:rFonts w:ascii="仿宋" w:hAnsi="仿宋" w:eastAsia="仿宋" w:cs="仿宋"/>
          <w:b/>
          <w:bCs/>
          <w:color w:val="auto"/>
          <w:sz w:val="32"/>
          <w:szCs w:val="32"/>
          <w:highlight w:val="none"/>
        </w:rPr>
      </w:pPr>
      <w:r>
        <w:rPr>
          <w:rFonts w:hint="eastAsia" w:ascii="仿宋" w:hAnsi="仿宋" w:eastAsia="仿宋" w:cs="仿宋"/>
          <w:b/>
          <w:bCs/>
          <w:color w:val="auto"/>
          <w:sz w:val="24"/>
          <w:szCs w:val="24"/>
          <w:highlight w:val="none"/>
        </w:rPr>
        <w:br w:type="page"/>
      </w:r>
    </w:p>
    <w:p>
      <w:pPr>
        <w:spacing w:line="360" w:lineRule="auto"/>
        <w:ind w:firstLine="2240" w:firstLineChars="700"/>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第一章</w:t>
      </w:r>
      <w:bookmarkStart w:id="2" w:name="_Toc35393797"/>
      <w:bookmarkStart w:id="3" w:name="_Toc28359011"/>
      <w:bookmarkStart w:id="4" w:name="OLE_LINK6"/>
      <w:bookmarkStart w:id="5" w:name="OLE_LINK5"/>
      <w:bookmarkStart w:id="6" w:name="OLE_LINK2"/>
      <w:bookmarkStart w:id="7" w:name="OLE_LINK4"/>
      <w:bookmarkStart w:id="8" w:name="OLE_LINK3"/>
      <w:r>
        <w:rPr>
          <w:rFonts w:hint="eastAsia" w:ascii="仿宋" w:hAnsi="仿宋" w:eastAsia="仿宋" w:cs="仿宋"/>
          <w:b/>
          <w:bCs/>
          <w:color w:val="auto"/>
          <w:kern w:val="44"/>
          <w:sz w:val="32"/>
          <w:szCs w:val="32"/>
          <w:highlight w:val="none"/>
        </w:rPr>
        <w:t>竞争性磋商公告</w:t>
      </w:r>
      <w:bookmarkEnd w:id="2"/>
      <w:bookmarkEnd w:id="3"/>
    </w:p>
    <w:p>
      <w:pPr>
        <w:spacing w:line="360" w:lineRule="auto"/>
        <w:rPr>
          <w:rFonts w:ascii="仿宋" w:hAnsi="仿宋" w:eastAsia="仿宋" w:cs="仿宋"/>
          <w:color w:val="auto"/>
          <w:sz w:val="24"/>
          <w:szCs w:val="24"/>
          <w:highlight w:val="none"/>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trPr>
        <w:tc>
          <w:tcPr>
            <w:tcW w:w="9120" w:type="dxa"/>
          </w:tcPr>
          <w:p>
            <w:pPr>
              <w:widowControl/>
              <w:spacing w:line="44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项目概况</w:t>
            </w:r>
          </w:p>
          <w:p>
            <w:pPr>
              <w:widowControl/>
              <w:spacing w:line="440" w:lineRule="exact"/>
              <w:rPr>
                <w:rFonts w:ascii="仿宋" w:hAnsi="仿宋" w:eastAsia="仿宋" w:cs="仿宋"/>
                <w:b/>
                <w:bCs/>
                <w:color w:val="auto"/>
                <w:sz w:val="24"/>
                <w:szCs w:val="24"/>
                <w:highlight w:val="none"/>
                <w:u w:val="single"/>
              </w:rPr>
            </w:pPr>
            <w:r>
              <w:rPr>
                <w:rFonts w:hint="eastAsia" w:ascii="仿宋" w:hAnsi="仿宋" w:eastAsia="仿宋" w:cs="仿宋"/>
                <w:b/>
                <w:bCs/>
                <w:color w:val="auto"/>
                <w:sz w:val="24"/>
                <w:szCs w:val="24"/>
                <w:highlight w:val="none"/>
                <w:u w:val="single"/>
              </w:rPr>
              <w:t>苏锡通园区低效用地再开发“十四五”专项规划和年度实施计划编制工作采购项目</w:t>
            </w:r>
            <w:r>
              <w:rPr>
                <w:rFonts w:hint="eastAsia" w:ascii="仿宋" w:hAnsi="仿宋" w:eastAsia="仿宋" w:cs="仿宋"/>
                <w:color w:val="auto"/>
                <w:sz w:val="24"/>
                <w:szCs w:val="24"/>
                <w:highlight w:val="none"/>
              </w:rPr>
              <w:t>的潜在供应商应</w:t>
            </w:r>
            <w:r>
              <w:rPr>
                <w:rFonts w:hint="eastAsia" w:ascii="仿宋" w:hAnsi="仿宋" w:eastAsia="仿宋" w:cs="仿宋"/>
                <w:color w:val="auto"/>
                <w:sz w:val="24"/>
                <w:highlight w:val="none"/>
                <w:u w:val="single"/>
              </w:rPr>
              <w:t>直接</w:t>
            </w:r>
            <w:r>
              <w:rPr>
                <w:rFonts w:hint="eastAsia" w:ascii="仿宋" w:hAnsi="仿宋" w:eastAsia="仿宋" w:cs="仿宋"/>
                <w:color w:val="auto"/>
                <w:kern w:val="0"/>
                <w:sz w:val="24"/>
                <w:highlight w:val="none"/>
                <w:u w:val="single"/>
              </w:rPr>
              <w:t>从南通苏锡通科技产业园区</w:t>
            </w:r>
            <w:r>
              <w:rPr>
                <w:rFonts w:hint="eastAsia" w:ascii="仿宋" w:hAnsi="仿宋" w:eastAsia="仿宋" w:cs="仿宋"/>
                <w:color w:val="auto"/>
                <w:kern w:val="0"/>
                <w:sz w:val="24"/>
                <w:highlight w:val="none"/>
              </w:rPr>
              <w:t>自行下载</w:t>
            </w:r>
            <w:r>
              <w:rPr>
                <w:rFonts w:hint="eastAsia" w:ascii="仿宋" w:hAnsi="仿宋" w:eastAsia="仿宋" w:cs="仿宋"/>
                <w:color w:val="auto"/>
                <w:sz w:val="24"/>
                <w:szCs w:val="24"/>
                <w:highlight w:val="none"/>
              </w:rPr>
              <w:t>磋商</w:t>
            </w:r>
            <w:r>
              <w:rPr>
                <w:rFonts w:hint="eastAsia" w:ascii="仿宋" w:hAnsi="仿宋" w:eastAsia="仿宋" w:cs="仿宋"/>
                <w:color w:val="auto"/>
                <w:kern w:val="0"/>
                <w:sz w:val="24"/>
                <w:highlight w:val="none"/>
              </w:rPr>
              <w:t>文件。</w:t>
            </w:r>
            <w:r>
              <w:rPr>
                <w:rFonts w:hint="eastAsia" w:ascii="仿宋" w:hAnsi="仿宋" w:eastAsia="仿宋" w:cs="仿宋"/>
                <w:color w:val="auto"/>
                <w:sz w:val="24"/>
                <w:szCs w:val="24"/>
                <w:highlight w:val="none"/>
              </w:rPr>
              <w:t>并于</w:t>
            </w:r>
            <w:r>
              <w:rPr>
                <w:rFonts w:hint="eastAsia" w:ascii="仿宋" w:hAnsi="仿宋" w:eastAsia="仿宋" w:cs="仿宋"/>
                <w:color w:val="auto"/>
                <w:sz w:val="24"/>
                <w:szCs w:val="24"/>
                <w:highlight w:val="none"/>
                <w:u w:val="single"/>
              </w:rPr>
              <w:t>2022</w:t>
            </w:r>
            <w:r>
              <w:rPr>
                <w:rFonts w:hint="eastAsia" w:ascii="仿宋" w:hAnsi="仿宋" w:eastAsia="仿宋" w:cs="仿宋"/>
                <w:bCs/>
                <w:color w:val="auto"/>
                <w:sz w:val="24"/>
                <w:szCs w:val="24"/>
                <w:highlight w:val="none"/>
                <w:u w:val="single"/>
              </w:rPr>
              <w:t>年</w:t>
            </w:r>
            <w:r>
              <w:rPr>
                <w:rFonts w:hint="eastAsia" w:ascii="仿宋" w:hAnsi="仿宋" w:eastAsia="仿宋" w:cs="仿宋"/>
                <w:bCs/>
                <w:color w:val="auto"/>
                <w:sz w:val="24"/>
                <w:szCs w:val="24"/>
                <w:highlight w:val="none"/>
                <w:u w:val="single"/>
                <w:lang w:val="en-US" w:eastAsia="zh-CN"/>
              </w:rPr>
              <w:t>10</w:t>
            </w:r>
            <w:r>
              <w:rPr>
                <w:rFonts w:hint="eastAsia" w:ascii="仿宋" w:hAnsi="仿宋" w:eastAsia="仿宋" w:cs="仿宋"/>
                <w:bCs/>
                <w:color w:val="auto"/>
                <w:sz w:val="24"/>
                <w:szCs w:val="24"/>
                <w:highlight w:val="none"/>
                <w:u w:val="single"/>
              </w:rPr>
              <w:t>月</w:t>
            </w:r>
            <w:r>
              <w:rPr>
                <w:rFonts w:hint="eastAsia" w:ascii="仿宋" w:hAnsi="仿宋" w:eastAsia="仿宋" w:cs="仿宋"/>
                <w:bCs/>
                <w:color w:val="auto"/>
                <w:sz w:val="24"/>
                <w:szCs w:val="24"/>
                <w:highlight w:val="none"/>
                <w:u w:val="single"/>
                <w:lang w:val="en-US" w:eastAsia="zh-CN"/>
              </w:rPr>
              <w:t>10</w:t>
            </w:r>
            <w:r>
              <w:rPr>
                <w:rFonts w:hint="eastAsia" w:ascii="仿宋" w:hAnsi="仿宋" w:eastAsia="仿宋" w:cs="仿宋"/>
                <w:bCs/>
                <w:color w:val="auto"/>
                <w:sz w:val="24"/>
                <w:szCs w:val="24"/>
                <w:highlight w:val="none"/>
                <w:u w:val="single"/>
              </w:rPr>
              <w:t>日9点30分</w:t>
            </w:r>
            <w:r>
              <w:rPr>
                <w:rFonts w:hint="eastAsia" w:ascii="仿宋" w:hAnsi="仿宋" w:eastAsia="仿宋" w:cs="仿宋"/>
                <w:bCs/>
                <w:color w:val="auto"/>
                <w:sz w:val="24"/>
                <w:szCs w:val="24"/>
                <w:highlight w:val="none"/>
              </w:rPr>
              <w:t>（北京时间）前提交响应文件</w:t>
            </w:r>
            <w:r>
              <w:rPr>
                <w:rFonts w:hint="eastAsia" w:ascii="仿宋" w:hAnsi="仿宋" w:eastAsia="仿宋" w:cs="仿宋"/>
                <w:color w:val="auto"/>
                <w:sz w:val="24"/>
                <w:szCs w:val="24"/>
                <w:highlight w:val="none"/>
              </w:rPr>
              <w:t>。</w:t>
            </w:r>
          </w:p>
        </w:tc>
      </w:tr>
    </w:tbl>
    <w:p>
      <w:pPr>
        <w:keepNext/>
        <w:keepLines/>
        <w:spacing w:line="360" w:lineRule="auto"/>
        <w:outlineLvl w:val="1"/>
        <w:rPr>
          <w:rFonts w:ascii="仿宋" w:hAnsi="仿宋" w:eastAsia="仿宋" w:cs="仿宋"/>
          <w:bCs/>
          <w:color w:val="auto"/>
          <w:sz w:val="24"/>
          <w:szCs w:val="24"/>
          <w:highlight w:val="none"/>
        </w:rPr>
      </w:pPr>
      <w:bookmarkStart w:id="9" w:name="_Toc28359012"/>
      <w:bookmarkStart w:id="10" w:name="_Toc28359089"/>
      <w:bookmarkStart w:id="11" w:name="_Toc35393798"/>
      <w:bookmarkStart w:id="12" w:name="_Toc35393629"/>
      <w:r>
        <w:rPr>
          <w:rFonts w:hint="eastAsia" w:ascii="仿宋" w:hAnsi="仿宋" w:eastAsia="仿宋" w:cs="仿宋"/>
          <w:bCs/>
          <w:color w:val="auto"/>
          <w:sz w:val="24"/>
          <w:szCs w:val="24"/>
          <w:highlight w:val="none"/>
        </w:rPr>
        <w:t>一、项目基本情况</w:t>
      </w:r>
      <w:bookmarkEnd w:id="9"/>
      <w:bookmarkEnd w:id="10"/>
      <w:bookmarkEnd w:id="11"/>
      <w:bookmarkEnd w:id="12"/>
    </w:p>
    <w:p>
      <w:pPr>
        <w:spacing w:line="360" w:lineRule="auto"/>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1、项目编号：NTXYCS2022092</w:t>
      </w:r>
    </w:p>
    <w:p>
      <w:pPr>
        <w:spacing w:line="360" w:lineRule="auto"/>
        <w:ind w:firstLine="480" w:firstLineChars="200"/>
        <w:jc w:val="left"/>
        <w:rPr>
          <w:rFonts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2、项目名称：</w:t>
      </w:r>
      <w:r>
        <w:rPr>
          <w:rFonts w:hint="eastAsia" w:ascii="仿宋" w:hAnsi="仿宋" w:eastAsia="仿宋" w:cs="仿宋"/>
          <w:b/>
          <w:bCs/>
          <w:color w:val="auto"/>
          <w:sz w:val="24"/>
          <w:szCs w:val="24"/>
          <w:highlight w:val="none"/>
        </w:rPr>
        <w:t>苏锡通园区低效用地再开发“十四五”专项规划和年度实施计划编制工作采购项目</w:t>
      </w:r>
    </w:p>
    <w:p>
      <w:pPr>
        <w:spacing w:line="360" w:lineRule="auto"/>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3、采购方式：竞争性磋商</w:t>
      </w:r>
    </w:p>
    <w:p>
      <w:pPr>
        <w:spacing w:line="360" w:lineRule="auto"/>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4、预算金额：25万元</w:t>
      </w:r>
    </w:p>
    <w:p>
      <w:pPr>
        <w:snapToGrid w:val="0"/>
        <w:spacing w:line="300" w:lineRule="auto"/>
        <w:ind w:firstLine="480" w:firstLineChars="200"/>
        <w:rPr>
          <w:rFonts w:ascii="仿宋" w:hAnsi="仿宋" w:eastAsia="仿宋" w:cs="仿宋"/>
          <w:b/>
          <w:bCs/>
          <w:color w:val="auto"/>
          <w:kern w:val="0"/>
          <w:sz w:val="24"/>
          <w:highlight w:val="none"/>
        </w:rPr>
      </w:pPr>
      <w:r>
        <w:rPr>
          <w:rFonts w:hint="eastAsia" w:ascii="仿宋" w:hAnsi="仿宋" w:eastAsia="仿宋" w:cs="仿宋"/>
          <w:color w:val="auto"/>
          <w:sz w:val="24"/>
          <w:szCs w:val="24"/>
          <w:highlight w:val="none"/>
        </w:rPr>
        <w:t>5、最高限价：25万元</w:t>
      </w:r>
      <w:r>
        <w:rPr>
          <w:rFonts w:hint="eastAsia" w:ascii="仿宋" w:hAnsi="仿宋" w:eastAsia="仿宋" w:cs="仿宋"/>
          <w:color w:val="auto"/>
          <w:kern w:val="0"/>
          <w:sz w:val="24"/>
          <w:highlight w:val="none"/>
        </w:rPr>
        <w:t>（其中</w:t>
      </w:r>
      <w:r>
        <w:rPr>
          <w:rFonts w:hint="eastAsia" w:ascii="仿宋" w:hAnsi="仿宋" w:eastAsia="仿宋" w:cs="仿宋"/>
          <w:color w:val="auto"/>
          <w:sz w:val="24"/>
          <w:szCs w:val="24"/>
          <w:highlight w:val="none"/>
        </w:rPr>
        <w:t>十四五时期低效用地再开发专项规划方案编制费用</w:t>
      </w:r>
      <w:r>
        <w:rPr>
          <w:rFonts w:hint="eastAsia" w:ascii="仿宋" w:hAnsi="仿宋" w:eastAsia="仿宋" w:cs="仿宋"/>
          <w:color w:val="auto"/>
          <w:kern w:val="0"/>
          <w:sz w:val="24"/>
          <w:highlight w:val="none"/>
        </w:rPr>
        <w:t>最高限价10万元，</w:t>
      </w:r>
      <w:r>
        <w:rPr>
          <w:rFonts w:hint="eastAsia" w:ascii="仿宋" w:hAnsi="仿宋" w:eastAsia="仿宋" w:cs="仿宋"/>
          <w:color w:val="auto"/>
          <w:sz w:val="24"/>
          <w:szCs w:val="24"/>
          <w:highlight w:val="none"/>
        </w:rPr>
        <w:t>每年度实施计划的编制费用</w:t>
      </w:r>
      <w:r>
        <w:rPr>
          <w:rFonts w:hint="eastAsia" w:ascii="仿宋" w:hAnsi="仿宋" w:eastAsia="仿宋" w:cs="仿宋"/>
          <w:color w:val="auto"/>
          <w:kern w:val="0"/>
          <w:sz w:val="24"/>
          <w:highlight w:val="none"/>
        </w:rPr>
        <w:t>最高限价为3万元/年，投标报价须按总价报价），</w:t>
      </w:r>
      <w:r>
        <w:rPr>
          <w:rFonts w:hint="eastAsia" w:ascii="仿宋" w:hAnsi="仿宋" w:eastAsia="仿宋" w:cs="仿宋"/>
          <w:color w:val="auto"/>
          <w:sz w:val="24"/>
          <w:szCs w:val="24"/>
          <w:highlight w:val="none"/>
        </w:rPr>
        <w:t>投标报价或单项报价超过最高限价的均不予得分</w:t>
      </w:r>
      <w:r>
        <w:rPr>
          <w:rFonts w:hint="eastAsia" w:ascii="仿宋" w:hAnsi="仿宋" w:eastAsia="仿宋" w:cs="仿宋"/>
          <w:b/>
          <w:bCs/>
          <w:color w:val="auto"/>
          <w:kern w:val="0"/>
          <w:sz w:val="24"/>
          <w:highlight w:val="none"/>
        </w:rPr>
        <w:t>。</w:t>
      </w:r>
    </w:p>
    <w:p>
      <w:pPr>
        <w:pStyle w:val="3"/>
        <w:numPr>
          <w:ilvl w:val="0"/>
          <w:numId w:val="2"/>
        </w:numPr>
        <w:ind w:firstLine="460" w:firstLineChars="200"/>
        <w:rPr>
          <w:rFonts w:ascii="仿宋" w:hAnsi="仿宋" w:eastAsia="仿宋" w:cs="仿宋"/>
          <w:color w:val="auto"/>
          <w:sz w:val="23"/>
          <w:szCs w:val="23"/>
          <w:highlight w:val="none"/>
        </w:rPr>
      </w:pPr>
      <w:r>
        <w:rPr>
          <w:rFonts w:hint="eastAsia" w:ascii="仿宋" w:hAnsi="仿宋" w:eastAsia="仿宋" w:cs="仿宋"/>
          <w:color w:val="auto"/>
          <w:sz w:val="23"/>
          <w:szCs w:val="23"/>
          <w:highlight w:val="none"/>
        </w:rPr>
        <w:t>标段划分：一个标段</w:t>
      </w:r>
    </w:p>
    <w:p>
      <w:pPr>
        <w:spacing w:line="360" w:lineRule="auto"/>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7、采购需求：详见磋商文件。</w:t>
      </w:r>
    </w:p>
    <w:p>
      <w:pPr>
        <w:widowControl/>
        <w:spacing w:line="360" w:lineRule="auto"/>
        <w:ind w:firstLine="480" w:firstLineChars="200"/>
        <w:jc w:val="left"/>
        <w:textAlignment w:val="baseline"/>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8、合同履行期限：自合同签订之日起至2025年12月31日止。其中编制十四五时期低效用地再开发专项规划方案及2021-2022年度实施计划的编制自合同签订期6个月内完成；2023-2025每年度实施计划的编制当年完成。</w:t>
      </w:r>
    </w:p>
    <w:p>
      <w:pPr>
        <w:widowControl/>
        <w:spacing w:line="360" w:lineRule="auto"/>
        <w:ind w:firstLine="480" w:firstLineChars="200"/>
        <w:jc w:val="left"/>
        <w:textAlignment w:val="baseline"/>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9、本项目（是/否）接受联合体：否</w:t>
      </w:r>
    </w:p>
    <w:p>
      <w:pPr>
        <w:keepNext/>
        <w:keepLines/>
        <w:spacing w:line="360" w:lineRule="auto"/>
        <w:outlineLvl w:val="1"/>
        <w:rPr>
          <w:rFonts w:ascii="仿宋" w:hAnsi="仿宋" w:eastAsia="仿宋" w:cs="仿宋"/>
          <w:b/>
          <w:bCs/>
          <w:color w:val="auto"/>
          <w:sz w:val="24"/>
          <w:szCs w:val="24"/>
          <w:highlight w:val="none"/>
        </w:rPr>
      </w:pPr>
      <w:bookmarkStart w:id="13" w:name="_Toc35393630"/>
      <w:bookmarkStart w:id="14" w:name="_Toc28359090"/>
      <w:bookmarkStart w:id="15" w:name="_Toc28359013"/>
      <w:bookmarkStart w:id="16" w:name="_Toc35393799"/>
      <w:r>
        <w:rPr>
          <w:rFonts w:hint="eastAsia" w:ascii="仿宋" w:hAnsi="仿宋" w:eastAsia="仿宋" w:cs="仿宋"/>
          <w:b/>
          <w:bCs/>
          <w:color w:val="auto"/>
          <w:sz w:val="24"/>
          <w:szCs w:val="24"/>
          <w:highlight w:val="none"/>
        </w:rPr>
        <w:t>二、本项目申请人的资格要求：</w:t>
      </w:r>
      <w:bookmarkEnd w:id="13"/>
      <w:bookmarkEnd w:id="14"/>
      <w:bookmarkEnd w:id="15"/>
      <w:bookmarkEnd w:id="16"/>
    </w:p>
    <w:p>
      <w:pPr>
        <w:adjustRightInd w:val="0"/>
        <w:snapToGrid w:val="0"/>
        <w:spacing w:line="500" w:lineRule="exact"/>
        <w:ind w:firstLine="480" w:firstLineChars="200"/>
        <w:rPr>
          <w:rFonts w:ascii="仿宋" w:hAnsi="仿宋" w:eastAsia="仿宋" w:cs="仿宋"/>
          <w:b/>
          <w:bCs/>
          <w:color w:val="auto"/>
          <w:sz w:val="24"/>
          <w:szCs w:val="24"/>
          <w:highlight w:val="none"/>
        </w:rPr>
      </w:pPr>
      <w:bookmarkStart w:id="17" w:name="_Toc28359014"/>
      <w:bookmarkStart w:id="18" w:name="_Toc28359091"/>
      <w:r>
        <w:rPr>
          <w:rFonts w:hint="eastAsia" w:ascii="仿宋" w:hAnsi="仿宋" w:eastAsia="仿宋" w:cs="仿宋"/>
          <w:b/>
          <w:bCs/>
          <w:color w:val="auto"/>
          <w:sz w:val="24"/>
          <w:szCs w:val="24"/>
          <w:highlight w:val="none"/>
        </w:rPr>
        <w:t>1.满足《中华人民共和国政府采购法》第二十二条规定。</w:t>
      </w:r>
    </w:p>
    <w:p>
      <w:pPr>
        <w:adjustRightInd w:val="0"/>
        <w:snapToGrid w:val="0"/>
        <w:spacing w:line="500" w:lineRule="exact"/>
        <w:ind w:firstLine="480" w:firstLineChars="200"/>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2.落实政府采购政策需满足的资格要求</w:t>
      </w:r>
      <w:r>
        <w:rPr>
          <w:rFonts w:hint="eastAsia" w:ascii="仿宋" w:hAnsi="仿宋" w:eastAsia="仿宋" w:cs="仿宋"/>
          <w:color w:val="auto"/>
          <w:sz w:val="24"/>
          <w:szCs w:val="24"/>
          <w:highlight w:val="none"/>
        </w:rPr>
        <w:t>：本项目为专门面向中小微企业采购项目（须按照财库〔2020〕46号文要求提供中小企业声明函，格式见附件）。</w:t>
      </w:r>
    </w:p>
    <w:p>
      <w:pPr>
        <w:spacing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次采购标的对应的中小企业划分标准所属行业为：其他未列明行业。从业人员300人以下的为中小微型企业。其中，从业人员100人及以上的为中型企业；从业人员10人及以上的为小型企业；从业人员10人以下的为微型企业。</w:t>
      </w:r>
    </w:p>
    <w:p>
      <w:pPr>
        <w:adjustRightInd w:val="0"/>
        <w:snapToGrid w:val="0"/>
        <w:spacing w:line="5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注明：（1）中小企业应当按照按照财库（2020）46号文《政府采购促进中小企业发展管理办法》和“工信部联企业〔2011〕300号通知中的《中小企业划型标准规定》为准。如实填写并提交《中小企业声明函》。</w:t>
      </w:r>
    </w:p>
    <w:p>
      <w:pPr>
        <w:adjustRightInd w:val="0"/>
        <w:snapToGrid w:val="0"/>
        <w:spacing w:line="5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（2）残疾人福利性单位按照《关于促进残疾人就业政府采购政策的通知》（财库〔2017〕141号）有关规定执行。</w:t>
      </w:r>
    </w:p>
    <w:p>
      <w:pPr>
        <w:adjustRightInd w:val="0"/>
        <w:snapToGrid w:val="0"/>
        <w:spacing w:line="5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（3）监狱企业按照《关于政府采购支持监狱企业发展有关问题的通知》（财库【2014】68号）有关规定执行。</w:t>
      </w:r>
    </w:p>
    <w:p>
      <w:pPr>
        <w:adjustRightInd w:val="0"/>
        <w:snapToGrid w:val="0"/>
        <w:spacing w:line="5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备注：本项目专门面向中小企业，不享受价格扣除优惠政策。</w:t>
      </w:r>
    </w:p>
    <w:p>
      <w:pPr>
        <w:spacing w:line="360" w:lineRule="auto"/>
        <w:ind w:firstLine="480"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3.本项目的特定资格要求：</w:t>
      </w:r>
      <w:bookmarkStart w:id="19" w:name="_Toc35393631"/>
      <w:bookmarkStart w:id="20" w:name="_Toc35393800"/>
    </w:p>
    <w:p>
      <w:pPr>
        <w:spacing w:line="360" w:lineRule="auto"/>
        <w:ind w:firstLine="480"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响应供应商具有江苏省土地规划机构评价推荐证书丙级（含）以上资质，提供有效证书原件复印件。</w:t>
      </w:r>
    </w:p>
    <w:p>
      <w:pPr>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三、获取采购文件</w:t>
      </w:r>
      <w:bookmarkEnd w:id="17"/>
      <w:bookmarkEnd w:id="18"/>
      <w:bookmarkEnd w:id="19"/>
      <w:bookmarkEnd w:id="20"/>
    </w:p>
    <w:p>
      <w:pPr>
        <w:spacing w:line="360" w:lineRule="auto"/>
        <w:ind w:firstLine="540"/>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1、时间：</w:t>
      </w:r>
      <w:r>
        <w:rPr>
          <w:rFonts w:hint="eastAsia" w:ascii="仿宋" w:hAnsi="仿宋" w:eastAsia="仿宋" w:cs="仿宋"/>
          <w:b/>
          <w:bCs/>
          <w:color w:val="auto"/>
          <w:sz w:val="24"/>
          <w:szCs w:val="24"/>
          <w:highlight w:val="none"/>
          <w:u w:val="single"/>
        </w:rPr>
        <w:t>　2022年</w:t>
      </w:r>
      <w:r>
        <w:rPr>
          <w:rFonts w:hint="eastAsia" w:ascii="仿宋" w:hAnsi="仿宋" w:eastAsia="仿宋" w:cs="仿宋"/>
          <w:b/>
          <w:bCs/>
          <w:color w:val="auto"/>
          <w:sz w:val="24"/>
          <w:szCs w:val="24"/>
          <w:highlight w:val="none"/>
          <w:u w:val="single"/>
          <w:lang w:val="en-US" w:eastAsia="zh-CN"/>
        </w:rPr>
        <w:t>9</w:t>
      </w:r>
      <w:r>
        <w:rPr>
          <w:rFonts w:hint="eastAsia" w:ascii="仿宋" w:hAnsi="仿宋" w:eastAsia="仿宋" w:cs="仿宋"/>
          <w:b/>
          <w:bCs/>
          <w:color w:val="auto"/>
          <w:sz w:val="24"/>
          <w:szCs w:val="24"/>
          <w:highlight w:val="none"/>
          <w:u w:val="single"/>
        </w:rPr>
        <w:t>月</w:t>
      </w:r>
      <w:r>
        <w:rPr>
          <w:rFonts w:hint="eastAsia" w:ascii="仿宋" w:hAnsi="仿宋" w:eastAsia="仿宋" w:cs="仿宋"/>
          <w:b/>
          <w:bCs/>
          <w:color w:val="auto"/>
          <w:sz w:val="24"/>
          <w:szCs w:val="24"/>
          <w:highlight w:val="none"/>
          <w:u w:val="single"/>
          <w:lang w:val="en-US" w:eastAsia="zh-CN"/>
        </w:rPr>
        <w:t>22</w:t>
      </w:r>
      <w:r>
        <w:rPr>
          <w:rFonts w:hint="eastAsia" w:ascii="仿宋" w:hAnsi="仿宋" w:eastAsia="仿宋" w:cs="仿宋"/>
          <w:b/>
          <w:bCs/>
          <w:color w:val="auto"/>
          <w:sz w:val="24"/>
          <w:szCs w:val="24"/>
          <w:highlight w:val="none"/>
          <w:u w:val="single"/>
        </w:rPr>
        <w:t>日</w:t>
      </w:r>
      <w:r>
        <w:rPr>
          <w:rFonts w:hint="eastAsia" w:ascii="仿宋" w:hAnsi="仿宋" w:eastAsia="仿宋" w:cs="仿宋"/>
          <w:color w:val="auto"/>
          <w:sz w:val="24"/>
          <w:szCs w:val="24"/>
          <w:highlight w:val="none"/>
          <w:u w:val="single"/>
        </w:rPr>
        <w:t xml:space="preserve">至 </w:t>
      </w:r>
      <w:r>
        <w:rPr>
          <w:rFonts w:hint="eastAsia" w:ascii="仿宋" w:hAnsi="仿宋" w:eastAsia="仿宋" w:cs="仿宋"/>
          <w:b/>
          <w:bCs/>
          <w:color w:val="auto"/>
          <w:sz w:val="24"/>
          <w:szCs w:val="24"/>
          <w:highlight w:val="none"/>
          <w:u w:val="single"/>
        </w:rPr>
        <w:t>2022年</w:t>
      </w:r>
      <w:r>
        <w:rPr>
          <w:rFonts w:hint="eastAsia" w:ascii="仿宋" w:hAnsi="仿宋" w:eastAsia="仿宋" w:cs="仿宋"/>
          <w:b/>
          <w:bCs/>
          <w:color w:val="auto"/>
          <w:sz w:val="24"/>
          <w:szCs w:val="24"/>
          <w:highlight w:val="none"/>
          <w:u w:val="single"/>
          <w:lang w:val="en-US" w:eastAsia="zh-CN"/>
        </w:rPr>
        <w:t>10</w:t>
      </w:r>
      <w:r>
        <w:rPr>
          <w:rFonts w:hint="eastAsia" w:ascii="仿宋" w:hAnsi="仿宋" w:eastAsia="仿宋" w:cs="仿宋"/>
          <w:b/>
          <w:bCs/>
          <w:color w:val="auto"/>
          <w:sz w:val="24"/>
          <w:szCs w:val="24"/>
          <w:highlight w:val="none"/>
          <w:u w:val="single"/>
        </w:rPr>
        <w:t>月</w:t>
      </w:r>
      <w:r>
        <w:rPr>
          <w:rFonts w:hint="eastAsia" w:ascii="仿宋" w:hAnsi="仿宋" w:eastAsia="仿宋" w:cs="仿宋"/>
          <w:b/>
          <w:bCs/>
          <w:color w:val="auto"/>
          <w:sz w:val="24"/>
          <w:szCs w:val="24"/>
          <w:highlight w:val="none"/>
          <w:u w:val="single"/>
          <w:lang w:val="en-US" w:eastAsia="zh-CN"/>
        </w:rPr>
        <w:t>10</w:t>
      </w:r>
      <w:r>
        <w:rPr>
          <w:rFonts w:hint="eastAsia" w:ascii="仿宋" w:hAnsi="仿宋" w:eastAsia="仿宋" w:cs="仿宋"/>
          <w:b/>
          <w:bCs/>
          <w:color w:val="auto"/>
          <w:sz w:val="24"/>
          <w:szCs w:val="24"/>
          <w:highlight w:val="none"/>
          <w:u w:val="single"/>
        </w:rPr>
        <w:t>日9点30分止</w:t>
      </w:r>
    </w:p>
    <w:p>
      <w:pPr>
        <w:widowControl/>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2、地点：供应商</w:t>
      </w:r>
      <w:r>
        <w:rPr>
          <w:rFonts w:hint="eastAsia" w:ascii="仿宋" w:hAnsi="仿宋" w:eastAsia="仿宋" w:cs="仿宋"/>
          <w:color w:val="auto"/>
          <w:sz w:val="24"/>
          <w:highlight w:val="none"/>
          <w:u w:val="single"/>
        </w:rPr>
        <w:t>直接</w:t>
      </w:r>
      <w:r>
        <w:rPr>
          <w:rFonts w:hint="eastAsia" w:ascii="仿宋" w:hAnsi="仿宋" w:eastAsia="仿宋" w:cs="仿宋"/>
          <w:color w:val="auto"/>
          <w:kern w:val="0"/>
          <w:sz w:val="24"/>
          <w:highlight w:val="none"/>
          <w:u w:val="single"/>
        </w:rPr>
        <w:t>从南通苏锡通科技产业园区</w:t>
      </w:r>
      <w:r>
        <w:rPr>
          <w:rFonts w:hint="eastAsia" w:ascii="仿宋" w:hAnsi="仿宋" w:eastAsia="仿宋" w:cs="仿宋"/>
          <w:color w:val="auto"/>
          <w:kern w:val="0"/>
          <w:sz w:val="24"/>
          <w:highlight w:val="none"/>
        </w:rPr>
        <w:t>自行下载竞争性磋商文件等招标资料。</w:t>
      </w:r>
    </w:p>
    <w:p>
      <w:pPr>
        <w:spacing w:line="360" w:lineRule="auto"/>
        <w:ind w:firstLine="54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3、方式：自行下载</w:t>
      </w:r>
    </w:p>
    <w:p>
      <w:pPr>
        <w:pStyle w:val="2"/>
        <w:ind w:firstLine="480"/>
        <w:rPr>
          <w:rFonts w:ascii="仿宋" w:hAnsi="仿宋" w:eastAsia="仿宋" w:cs="仿宋"/>
          <w:color w:val="auto"/>
          <w:highlight w:val="none"/>
        </w:rPr>
      </w:pPr>
      <w:r>
        <w:rPr>
          <w:rFonts w:hint="eastAsia" w:ascii="仿宋" w:hAnsi="仿宋" w:eastAsia="仿宋" w:cs="仿宋"/>
          <w:color w:val="auto"/>
          <w:sz w:val="24"/>
          <w:szCs w:val="24"/>
          <w:highlight w:val="none"/>
        </w:rPr>
        <w:t>4、售价：300元/每位磋商供应商（递交投标文件同时递交）</w:t>
      </w:r>
    </w:p>
    <w:p>
      <w:pPr>
        <w:spacing w:line="360" w:lineRule="auto"/>
        <w:ind w:firstLine="360" w:firstLineChars="150"/>
        <w:rPr>
          <w:rFonts w:ascii="仿宋" w:hAnsi="仿宋" w:eastAsia="仿宋" w:cs="仿宋"/>
          <w:b/>
          <w:color w:val="auto"/>
          <w:sz w:val="24"/>
          <w:szCs w:val="24"/>
          <w:highlight w:val="none"/>
        </w:rPr>
      </w:pPr>
      <w:bookmarkStart w:id="21" w:name="_Toc28359092"/>
      <w:bookmarkStart w:id="22" w:name="_Toc35393632"/>
      <w:bookmarkStart w:id="23" w:name="_Toc35393801"/>
      <w:bookmarkStart w:id="24" w:name="_Toc28359015"/>
      <w:r>
        <w:rPr>
          <w:rFonts w:hint="eastAsia" w:ascii="仿宋" w:hAnsi="仿宋" w:eastAsia="仿宋" w:cs="仿宋"/>
          <w:b/>
          <w:bCs/>
          <w:color w:val="auto"/>
          <w:sz w:val="24"/>
          <w:szCs w:val="24"/>
          <w:highlight w:val="none"/>
        </w:rPr>
        <w:t>四、响应文件提交</w:t>
      </w:r>
      <w:bookmarkEnd w:id="21"/>
      <w:bookmarkEnd w:id="22"/>
      <w:bookmarkEnd w:id="23"/>
      <w:bookmarkEnd w:id="24"/>
      <w:bookmarkStart w:id="25" w:name="_Toc28359093"/>
      <w:bookmarkStart w:id="26" w:name="_Toc28359016"/>
      <w:bookmarkStart w:id="27" w:name="_Toc35393633"/>
      <w:bookmarkStart w:id="28" w:name="_Toc35393802"/>
    </w:p>
    <w:p>
      <w:pPr>
        <w:spacing w:line="360" w:lineRule="auto"/>
        <w:ind w:firstLine="360" w:firstLineChars="150"/>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1、截止时间：可在</w:t>
      </w:r>
      <w:r>
        <w:rPr>
          <w:rFonts w:hint="eastAsia" w:ascii="仿宋" w:hAnsi="仿宋" w:eastAsia="仿宋" w:cs="仿宋"/>
          <w:b/>
          <w:bCs/>
          <w:color w:val="auto"/>
          <w:sz w:val="24"/>
          <w:szCs w:val="24"/>
          <w:highlight w:val="none"/>
          <w:u w:val="single"/>
        </w:rPr>
        <w:t>2022年</w:t>
      </w:r>
      <w:r>
        <w:rPr>
          <w:rFonts w:hint="eastAsia" w:ascii="仿宋" w:hAnsi="仿宋" w:eastAsia="仿宋" w:cs="仿宋"/>
          <w:b/>
          <w:bCs/>
          <w:color w:val="auto"/>
          <w:sz w:val="24"/>
          <w:szCs w:val="24"/>
          <w:highlight w:val="none"/>
          <w:u w:val="single"/>
          <w:lang w:val="en-US" w:eastAsia="zh-CN"/>
        </w:rPr>
        <w:t>10</w:t>
      </w:r>
      <w:r>
        <w:rPr>
          <w:rFonts w:hint="eastAsia" w:ascii="仿宋" w:hAnsi="仿宋" w:eastAsia="仿宋" w:cs="仿宋"/>
          <w:b/>
          <w:bCs/>
          <w:color w:val="auto"/>
          <w:sz w:val="24"/>
          <w:szCs w:val="24"/>
          <w:highlight w:val="none"/>
          <w:u w:val="single"/>
        </w:rPr>
        <w:t>月</w:t>
      </w:r>
      <w:r>
        <w:rPr>
          <w:rFonts w:hint="eastAsia" w:ascii="仿宋" w:hAnsi="仿宋" w:eastAsia="仿宋" w:cs="仿宋"/>
          <w:b/>
          <w:bCs/>
          <w:color w:val="auto"/>
          <w:sz w:val="24"/>
          <w:szCs w:val="24"/>
          <w:highlight w:val="none"/>
          <w:u w:val="single"/>
          <w:lang w:val="en-US" w:eastAsia="zh-CN"/>
        </w:rPr>
        <w:t>10</w:t>
      </w:r>
      <w:r>
        <w:rPr>
          <w:rFonts w:hint="eastAsia" w:ascii="仿宋" w:hAnsi="仿宋" w:eastAsia="仿宋" w:cs="仿宋"/>
          <w:b/>
          <w:bCs/>
          <w:color w:val="auto"/>
          <w:sz w:val="24"/>
          <w:szCs w:val="24"/>
          <w:highlight w:val="none"/>
          <w:u w:val="single"/>
        </w:rPr>
        <w:t>日9点00分</w:t>
      </w:r>
      <w:r>
        <w:rPr>
          <w:rFonts w:hint="eastAsia" w:ascii="仿宋" w:hAnsi="仿宋" w:eastAsia="仿宋" w:cs="仿宋"/>
          <w:color w:val="auto"/>
          <w:sz w:val="24"/>
          <w:szCs w:val="24"/>
          <w:highlight w:val="none"/>
          <w:u w:val="single"/>
        </w:rPr>
        <w:t>时</w:t>
      </w:r>
      <w:r>
        <w:rPr>
          <w:rFonts w:hint="eastAsia" w:ascii="仿宋" w:hAnsi="仿宋" w:eastAsia="仿宋" w:cs="仿宋"/>
          <w:color w:val="auto"/>
          <w:sz w:val="24"/>
          <w:szCs w:val="24"/>
          <w:highlight w:val="none"/>
        </w:rPr>
        <w:t>（北京时间）</w:t>
      </w:r>
      <w:r>
        <w:rPr>
          <w:rFonts w:hint="eastAsia" w:ascii="仿宋" w:hAnsi="仿宋" w:eastAsia="仿宋" w:cs="仿宋"/>
          <w:color w:val="auto"/>
          <w:sz w:val="24"/>
          <w:szCs w:val="24"/>
          <w:highlight w:val="none"/>
          <w:u w:val="single"/>
        </w:rPr>
        <w:t>开始递交投标文件，递交截止时间：</w:t>
      </w:r>
      <w:r>
        <w:rPr>
          <w:rFonts w:hint="eastAsia" w:ascii="仿宋" w:hAnsi="仿宋" w:eastAsia="仿宋" w:cs="仿宋"/>
          <w:b/>
          <w:bCs/>
          <w:color w:val="auto"/>
          <w:sz w:val="24"/>
          <w:szCs w:val="24"/>
          <w:highlight w:val="none"/>
          <w:u w:val="single"/>
        </w:rPr>
        <w:t>2022年</w:t>
      </w:r>
      <w:r>
        <w:rPr>
          <w:rFonts w:hint="eastAsia" w:ascii="仿宋" w:hAnsi="仿宋" w:eastAsia="仿宋" w:cs="仿宋"/>
          <w:b/>
          <w:bCs/>
          <w:color w:val="auto"/>
          <w:sz w:val="24"/>
          <w:szCs w:val="24"/>
          <w:highlight w:val="none"/>
          <w:u w:val="single"/>
          <w:lang w:val="en-US" w:eastAsia="zh-CN"/>
        </w:rPr>
        <w:t>10</w:t>
      </w:r>
      <w:r>
        <w:rPr>
          <w:rFonts w:hint="eastAsia" w:ascii="仿宋" w:hAnsi="仿宋" w:eastAsia="仿宋" w:cs="仿宋"/>
          <w:b/>
          <w:bCs/>
          <w:color w:val="auto"/>
          <w:sz w:val="24"/>
          <w:szCs w:val="24"/>
          <w:highlight w:val="none"/>
          <w:u w:val="single"/>
        </w:rPr>
        <w:t>月</w:t>
      </w:r>
      <w:r>
        <w:rPr>
          <w:rFonts w:hint="eastAsia" w:ascii="仿宋" w:hAnsi="仿宋" w:eastAsia="仿宋" w:cs="仿宋"/>
          <w:b/>
          <w:bCs/>
          <w:color w:val="auto"/>
          <w:sz w:val="24"/>
          <w:szCs w:val="24"/>
          <w:highlight w:val="none"/>
          <w:u w:val="single"/>
          <w:lang w:val="en-US" w:eastAsia="zh-CN"/>
        </w:rPr>
        <w:t>10</w:t>
      </w:r>
      <w:r>
        <w:rPr>
          <w:rFonts w:hint="eastAsia" w:ascii="仿宋" w:hAnsi="仿宋" w:eastAsia="仿宋" w:cs="仿宋"/>
          <w:b/>
          <w:bCs/>
          <w:color w:val="auto"/>
          <w:sz w:val="24"/>
          <w:szCs w:val="24"/>
          <w:highlight w:val="none"/>
          <w:u w:val="single"/>
        </w:rPr>
        <w:t>日9点30分</w:t>
      </w:r>
      <w:r>
        <w:rPr>
          <w:rFonts w:hint="eastAsia" w:ascii="仿宋" w:hAnsi="仿宋" w:eastAsia="仿宋" w:cs="仿宋"/>
          <w:color w:val="auto"/>
          <w:sz w:val="24"/>
          <w:szCs w:val="24"/>
          <w:highlight w:val="none"/>
        </w:rPr>
        <w:t>（北京时间），</w:t>
      </w:r>
      <w:r>
        <w:rPr>
          <w:rFonts w:hint="eastAsia" w:ascii="仿宋" w:hAnsi="仿宋" w:eastAsia="仿宋" w:cs="仿宋"/>
          <w:color w:val="auto"/>
          <w:sz w:val="24"/>
          <w:highlight w:val="none"/>
        </w:rPr>
        <w:t>逾期送达将作无效响应处理。</w:t>
      </w:r>
    </w:p>
    <w:p>
      <w:pPr>
        <w:spacing w:line="360" w:lineRule="auto"/>
        <w:ind w:firstLine="480" w:firstLineChars="200"/>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2、开标地点：</w:t>
      </w:r>
      <w:r>
        <w:rPr>
          <w:rFonts w:hint="eastAsia" w:ascii="仿宋" w:hAnsi="仿宋" w:eastAsia="仿宋" w:cs="仿宋"/>
          <w:color w:val="auto"/>
          <w:sz w:val="24"/>
          <w:szCs w:val="24"/>
          <w:highlight w:val="none"/>
          <w:u w:val="single"/>
        </w:rPr>
        <w:t>南通市开发区长通路9号飞马国际中心A座1205室</w:t>
      </w:r>
    </w:p>
    <w:p>
      <w:pPr>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五、开启</w:t>
      </w:r>
    </w:p>
    <w:p>
      <w:pPr>
        <w:ind w:firstLine="560" w:firstLineChars="200"/>
        <w:rPr>
          <w:rFonts w:ascii="仿宋" w:hAnsi="仿宋" w:eastAsia="仿宋" w:cs="仿宋"/>
          <w:bCs/>
          <w:color w:val="auto"/>
          <w:sz w:val="28"/>
          <w:szCs w:val="28"/>
          <w:highlight w:val="none"/>
          <w:u w:val="single"/>
        </w:rPr>
      </w:pPr>
      <w:r>
        <w:rPr>
          <w:rFonts w:hint="eastAsia" w:ascii="仿宋" w:hAnsi="仿宋" w:eastAsia="仿宋" w:cs="仿宋"/>
          <w:color w:val="auto"/>
          <w:sz w:val="28"/>
          <w:szCs w:val="28"/>
          <w:highlight w:val="none"/>
        </w:rPr>
        <w:t>时间：</w:t>
      </w:r>
      <w:r>
        <w:rPr>
          <w:rFonts w:hint="eastAsia" w:ascii="仿宋" w:hAnsi="仿宋" w:eastAsia="仿宋" w:cs="仿宋"/>
          <w:b/>
          <w:bCs/>
          <w:color w:val="auto"/>
          <w:sz w:val="24"/>
          <w:szCs w:val="24"/>
          <w:highlight w:val="none"/>
          <w:u w:val="single"/>
        </w:rPr>
        <w:t>2022年</w:t>
      </w:r>
      <w:r>
        <w:rPr>
          <w:rFonts w:hint="eastAsia" w:ascii="仿宋" w:hAnsi="仿宋" w:eastAsia="仿宋" w:cs="仿宋"/>
          <w:b/>
          <w:bCs/>
          <w:color w:val="auto"/>
          <w:sz w:val="24"/>
          <w:szCs w:val="24"/>
          <w:highlight w:val="none"/>
          <w:u w:val="single"/>
          <w:lang w:val="en-US" w:eastAsia="zh-CN"/>
        </w:rPr>
        <w:t>10</w:t>
      </w:r>
      <w:r>
        <w:rPr>
          <w:rFonts w:hint="eastAsia" w:ascii="仿宋" w:hAnsi="仿宋" w:eastAsia="仿宋" w:cs="仿宋"/>
          <w:b/>
          <w:bCs/>
          <w:color w:val="auto"/>
          <w:sz w:val="24"/>
          <w:szCs w:val="24"/>
          <w:highlight w:val="none"/>
          <w:u w:val="single"/>
        </w:rPr>
        <w:t>月</w:t>
      </w:r>
      <w:r>
        <w:rPr>
          <w:rFonts w:hint="eastAsia" w:ascii="仿宋" w:hAnsi="仿宋" w:eastAsia="仿宋" w:cs="仿宋"/>
          <w:b/>
          <w:bCs/>
          <w:color w:val="auto"/>
          <w:sz w:val="24"/>
          <w:szCs w:val="24"/>
          <w:highlight w:val="none"/>
          <w:u w:val="single"/>
          <w:lang w:val="en-US" w:eastAsia="zh-CN"/>
        </w:rPr>
        <w:t>10</w:t>
      </w:r>
      <w:r>
        <w:rPr>
          <w:rFonts w:hint="eastAsia" w:ascii="仿宋" w:hAnsi="仿宋" w:eastAsia="仿宋" w:cs="仿宋"/>
          <w:b/>
          <w:bCs/>
          <w:color w:val="auto"/>
          <w:sz w:val="24"/>
          <w:szCs w:val="24"/>
          <w:highlight w:val="none"/>
          <w:u w:val="single"/>
        </w:rPr>
        <w:t>日9点30分</w:t>
      </w:r>
      <w:r>
        <w:rPr>
          <w:rFonts w:hint="eastAsia" w:ascii="仿宋" w:hAnsi="仿宋" w:eastAsia="仿宋" w:cs="仿宋"/>
          <w:color w:val="auto"/>
          <w:sz w:val="24"/>
          <w:szCs w:val="24"/>
          <w:highlight w:val="none"/>
        </w:rPr>
        <w:t>（北京时间）</w:t>
      </w:r>
    </w:p>
    <w:p>
      <w:pPr>
        <w:spacing w:line="360" w:lineRule="auto"/>
        <w:ind w:firstLine="560" w:firstLineChars="200"/>
        <w:rPr>
          <w:rFonts w:ascii="仿宋" w:hAnsi="仿宋" w:eastAsia="仿宋" w:cs="仿宋"/>
          <w:color w:val="auto"/>
          <w:sz w:val="24"/>
          <w:szCs w:val="24"/>
          <w:highlight w:val="none"/>
          <w:u w:val="single"/>
        </w:rPr>
      </w:pPr>
      <w:r>
        <w:rPr>
          <w:rFonts w:hint="eastAsia" w:ascii="仿宋" w:hAnsi="仿宋" w:eastAsia="仿宋" w:cs="仿宋"/>
          <w:color w:val="auto"/>
          <w:sz w:val="28"/>
          <w:szCs w:val="28"/>
          <w:highlight w:val="none"/>
        </w:rPr>
        <w:t>地点：</w:t>
      </w:r>
      <w:bookmarkEnd w:id="25"/>
      <w:bookmarkEnd w:id="26"/>
      <w:bookmarkEnd w:id="27"/>
      <w:bookmarkEnd w:id="28"/>
      <w:bookmarkStart w:id="29" w:name="_Toc35393635"/>
      <w:bookmarkStart w:id="30" w:name="_Toc35393804"/>
      <w:r>
        <w:rPr>
          <w:rFonts w:hint="eastAsia" w:ascii="仿宋" w:hAnsi="仿宋" w:eastAsia="仿宋" w:cs="仿宋"/>
          <w:color w:val="auto"/>
          <w:sz w:val="24"/>
          <w:szCs w:val="24"/>
          <w:highlight w:val="none"/>
          <w:u w:val="single"/>
        </w:rPr>
        <w:t>南通市开发区长通路9号飞马国际中心A座1205室</w:t>
      </w:r>
    </w:p>
    <w:p>
      <w:pPr>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六、其他补充事宜</w:t>
      </w:r>
      <w:bookmarkEnd w:id="29"/>
      <w:bookmarkEnd w:id="30"/>
      <w:bookmarkStart w:id="31" w:name="_Toc35393805"/>
      <w:bookmarkStart w:id="32" w:name="_Toc28359095"/>
      <w:bookmarkStart w:id="33" w:name="_Toc35393636"/>
      <w:bookmarkStart w:id="34" w:name="_Toc28359018"/>
    </w:p>
    <w:p>
      <w:pPr>
        <w:snapToGrid w:val="0"/>
        <w:spacing w:line="360" w:lineRule="auto"/>
        <w:ind w:firstLine="480" w:firstLineChars="200"/>
        <w:contextualSpacing/>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1、本项目的采购人其他资格要求、项目需求、评分标准，均由采购人提出。相关的询问、质疑，请直接向采购人提出，并由采购人负责答复。</w:t>
      </w:r>
    </w:p>
    <w:p>
      <w:pPr>
        <w:snapToGrid w:val="0"/>
        <w:spacing w:line="360" w:lineRule="auto"/>
        <w:ind w:firstLine="480" w:firstLineChars="200"/>
        <w:contextualSpacing/>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2、拒绝以下磋商供应商参与投标：</w:t>
      </w:r>
    </w:p>
    <w:p>
      <w:pPr>
        <w:snapToGrid w:val="0"/>
        <w:spacing w:line="360" w:lineRule="auto"/>
        <w:ind w:firstLine="480" w:firstLineChars="200"/>
        <w:contextualSpacing/>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磋商供应商之间存在下列互为关联关系的情形之一的，不得同时参加本项目投标：</w:t>
      </w:r>
    </w:p>
    <w:p>
      <w:pPr>
        <w:snapToGrid w:val="0"/>
        <w:spacing w:line="360" w:lineRule="auto"/>
        <w:ind w:firstLine="480" w:firstLineChars="200"/>
        <w:contextualSpacing/>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 法定代表人为同一人的两个及两个以上法人；</w:t>
      </w:r>
    </w:p>
    <w:p>
      <w:pPr>
        <w:snapToGrid w:val="0"/>
        <w:spacing w:line="360" w:lineRule="auto"/>
        <w:ind w:firstLine="480" w:firstLineChars="200"/>
        <w:contextualSpacing/>
        <w:rPr>
          <w:rFonts w:ascii="仿宋" w:hAnsi="仿宋" w:eastAsia="仿宋" w:cs="仿宋"/>
          <w:color w:val="auto"/>
          <w:highlight w:val="none"/>
        </w:rPr>
      </w:pPr>
      <w:r>
        <w:rPr>
          <w:rFonts w:hint="eastAsia" w:ascii="仿宋" w:hAnsi="仿宋" w:eastAsia="仿宋" w:cs="仿宋"/>
          <w:color w:val="auto"/>
          <w:sz w:val="24"/>
          <w:szCs w:val="24"/>
          <w:highlight w:val="none"/>
        </w:rPr>
        <w:t>(2) 母公司、直接或间接持股50％及以上的被投资公司；</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3、到现场磋商时，请考虑路途拥堵、停车困难等情况，适当提前到达。</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4、有关本次磋商的事项若存在澄清或修改，敬请及时关注“南通苏锡通科技产业园区”发布的信息更正公告。</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为有效遏制新型冠状病毒感染的肺炎疫情扩散和蔓延，切实保障人民群众的身体健康和生命安全，请各潜在投标单位根据贵单位所在地及南通市疫情防控要求，及时查看已发布或最新发布的相关疫情防控要求，并按照最新发布的疫情防控要求执行。如因未达到南通市疫情防控要求，而被限制进入开标场地的或被强制隔离等情况的，由当事人自行承担相关风险和责任。同一家投标单位仅允许一名投标授权委托人携带本人身份证原件且戴口罩进入开标室，入场前须进行体温检测，并出示行程码。体温超过37.3度或健康码为黄码和红码的一律不得入场并通知相关单位进行隔离。未按上述要求戴口罩或体温超过37.3度，其投标文件将被拒绝接收。</w:t>
      </w:r>
    </w:p>
    <w:p>
      <w:pPr>
        <w:spacing w:line="460" w:lineRule="exact"/>
        <w:ind w:firstLine="480" w:firstLineChars="200"/>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6、</w:t>
      </w:r>
      <w:r>
        <w:rPr>
          <w:rFonts w:hint="eastAsia" w:ascii="仿宋" w:hAnsi="仿宋" w:eastAsia="仿宋" w:cs="仿宋"/>
          <w:b/>
          <w:bCs/>
          <w:color w:val="auto"/>
          <w:sz w:val="24"/>
          <w:szCs w:val="24"/>
          <w:highlight w:val="none"/>
        </w:rPr>
        <w:t>本项目</w:t>
      </w:r>
      <w:r>
        <w:rPr>
          <w:rFonts w:hint="eastAsia" w:ascii="仿宋" w:hAnsi="仿宋" w:eastAsia="仿宋" w:cs="仿宋"/>
          <w:b/>
          <w:color w:val="auto"/>
          <w:sz w:val="24"/>
          <w:szCs w:val="24"/>
          <w:highlight w:val="none"/>
        </w:rPr>
        <w:t>纸质投标文件：资格审查资料包（一正二副，可一并密封），技术标包（一正二副，可一并密封），报价标包（一正二副，可一并密封）。</w:t>
      </w:r>
    </w:p>
    <w:p>
      <w:pPr>
        <w:spacing w:line="360" w:lineRule="auto"/>
        <w:rPr>
          <w:rFonts w:ascii="仿宋" w:hAnsi="仿宋" w:eastAsia="仿宋" w:cs="仿宋"/>
          <w:b/>
          <w:bCs/>
          <w:color w:val="auto"/>
          <w:sz w:val="24"/>
          <w:szCs w:val="24"/>
          <w:highlight w:val="none"/>
        </w:rPr>
      </w:pPr>
      <w:r>
        <w:rPr>
          <w:rFonts w:hint="eastAsia" w:ascii="仿宋" w:hAnsi="仿宋" w:eastAsia="仿宋" w:cs="仿宋"/>
          <w:b/>
          <w:color w:val="auto"/>
          <w:sz w:val="23"/>
          <w:szCs w:val="23"/>
          <w:highlight w:val="none"/>
        </w:rPr>
        <w:t>七、</w:t>
      </w:r>
      <w:r>
        <w:rPr>
          <w:rFonts w:hint="eastAsia" w:ascii="仿宋" w:hAnsi="仿宋" w:eastAsia="仿宋" w:cs="仿宋"/>
          <w:b/>
          <w:bCs/>
          <w:color w:val="auto"/>
          <w:sz w:val="24"/>
          <w:szCs w:val="24"/>
          <w:highlight w:val="none"/>
        </w:rPr>
        <w:t>磋商评审流程简介</w:t>
      </w:r>
    </w:p>
    <w:p>
      <w:pPr>
        <w:tabs>
          <w:tab w:val="left" w:pos="900"/>
        </w:tabs>
        <w:spacing w:afterLines="50" w:line="360" w:lineRule="auto"/>
        <w:ind w:firstLine="600" w:firstLineChars="25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磋商小组审查磋商供应商资格，符合资格的供应商接受磋商小组的各轮磋商。磋商结束后要求所有实质性响应的供应商在规定时间内提交最后报价（最后报价是供应商响应文件的有效组成部分。符合《政府采购竞争性磋商采购方式管理暂行办法》第三条第四项及《财政部关于竞争性磋商采购方式管理暂行办法有关问题的补充通知》（财库[2015]124号）规定情形的，提交最后报价的供应商可以为2家），磋商小组采用综合评分法对提交最后报价的供应商的响应文件和最后报价进行综合评分，响应文件满足磋商文件全部实质性要求且按评审因素的量化指标评审得分最高者，为成交供应商。</w:t>
      </w:r>
    </w:p>
    <w:p>
      <w:pPr>
        <w:spacing w:line="360" w:lineRule="auto"/>
        <w:ind w:firstLine="240" w:firstLineChars="100"/>
        <w:rPr>
          <w:rFonts w:ascii="仿宋" w:hAnsi="仿宋" w:eastAsia="仿宋" w:cs="仿宋"/>
          <w:b/>
          <w:color w:val="auto"/>
          <w:kern w:val="0"/>
          <w:sz w:val="24"/>
          <w:szCs w:val="24"/>
          <w:highlight w:val="none"/>
        </w:rPr>
      </w:pPr>
      <w:r>
        <w:rPr>
          <w:rFonts w:hint="eastAsia" w:ascii="仿宋" w:hAnsi="仿宋" w:eastAsia="仿宋" w:cs="仿宋"/>
          <w:b/>
          <w:bCs/>
          <w:color w:val="auto"/>
          <w:sz w:val="24"/>
          <w:szCs w:val="24"/>
          <w:highlight w:val="none"/>
        </w:rPr>
        <w:t>八、凡对本次采购提出询问，请按以下方式联系。</w:t>
      </w:r>
      <w:bookmarkEnd w:id="31"/>
      <w:bookmarkEnd w:id="32"/>
      <w:bookmarkEnd w:id="33"/>
      <w:bookmarkEnd w:id="34"/>
    </w:p>
    <w:p>
      <w:pPr>
        <w:spacing w:line="46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1.采购人信息</w:t>
      </w:r>
    </w:p>
    <w:p>
      <w:pPr>
        <w:spacing w:line="46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名    称：南通市自然资源和规划局苏锡通园区分局</w:t>
      </w:r>
    </w:p>
    <w:p>
      <w:pPr>
        <w:spacing w:line="46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地    址：苏锡通园区江成路1088号</w:t>
      </w:r>
    </w:p>
    <w:p>
      <w:pPr>
        <w:spacing w:line="46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联 系 方 式：范先生，0513-</w:t>
      </w:r>
      <w:r>
        <w:rPr>
          <w:rFonts w:hint="eastAsia" w:ascii="仿宋" w:hAnsi="仿宋" w:eastAsia="仿宋" w:cs="仿宋"/>
          <w:color w:val="auto"/>
          <w:kern w:val="0"/>
          <w:sz w:val="24"/>
          <w:szCs w:val="24"/>
          <w:highlight w:val="none"/>
        </w:rPr>
        <w:t>89196611</w:t>
      </w:r>
    </w:p>
    <w:p>
      <w:pPr>
        <w:spacing w:line="46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2.采购代理机构信息</w:t>
      </w:r>
    </w:p>
    <w:p>
      <w:pPr>
        <w:spacing w:line="46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名    称：苏州新一造价师价格事务所有限公司</w:t>
      </w:r>
    </w:p>
    <w:p>
      <w:pPr>
        <w:spacing w:line="46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地   址：开发区长通路9号（飞马国际中心A座1205室）</w:t>
      </w:r>
    </w:p>
    <w:p>
      <w:pPr>
        <w:spacing w:line="46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联 系 方 式：0513-69895668　</w:t>
      </w:r>
    </w:p>
    <w:p>
      <w:pPr>
        <w:spacing w:line="46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3.项目联系方式</w:t>
      </w:r>
    </w:p>
    <w:p>
      <w:pPr>
        <w:spacing w:line="46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磋商文件制作人:</w:t>
      </w:r>
      <w:r>
        <w:rPr>
          <w:rFonts w:hint="eastAsia" w:ascii="仿宋" w:hAnsi="仿宋" w:eastAsia="仿宋" w:cs="仿宋"/>
          <w:color w:val="auto"/>
          <w:sz w:val="24"/>
          <w:szCs w:val="24"/>
          <w:highlight w:val="none"/>
          <w:lang w:val="en-US" w:eastAsia="zh-CN"/>
        </w:rPr>
        <w:t>张秋燕</w:t>
      </w:r>
      <w:r>
        <w:rPr>
          <w:rFonts w:hint="eastAsia" w:ascii="仿宋" w:hAnsi="仿宋" w:eastAsia="仿宋" w:cs="仿宋"/>
          <w:color w:val="auto"/>
          <w:sz w:val="24"/>
          <w:szCs w:val="24"/>
          <w:highlight w:val="none"/>
        </w:rPr>
        <w:t>（0513-69895668）</w:t>
      </w:r>
      <w:bookmarkEnd w:id="4"/>
      <w:bookmarkEnd w:id="5"/>
      <w:bookmarkEnd w:id="6"/>
      <w:bookmarkEnd w:id="7"/>
      <w:bookmarkEnd w:id="8"/>
    </w:p>
    <w:p>
      <w:pP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br w:type="page"/>
      </w:r>
    </w:p>
    <w:p>
      <w:pPr>
        <w:spacing w:line="440" w:lineRule="exact"/>
        <w:ind w:firstLine="2880" w:firstLineChars="900"/>
        <w:rPr>
          <w:rFonts w:ascii="仿宋" w:hAnsi="仿宋" w:eastAsia="仿宋" w:cs="仿宋"/>
          <w:b/>
          <w:bCs/>
          <w:color w:val="auto"/>
          <w:sz w:val="24"/>
          <w:szCs w:val="24"/>
          <w:highlight w:val="none"/>
        </w:rPr>
      </w:pPr>
      <w:r>
        <w:rPr>
          <w:rFonts w:hint="eastAsia" w:ascii="仿宋" w:hAnsi="仿宋" w:eastAsia="仿宋" w:cs="仿宋"/>
          <w:b/>
          <w:bCs/>
          <w:color w:val="auto"/>
          <w:sz w:val="32"/>
          <w:szCs w:val="32"/>
          <w:highlight w:val="none"/>
        </w:rPr>
        <w:t>第二章磋商须知</w:t>
      </w:r>
    </w:p>
    <w:p>
      <w:pPr>
        <w:spacing w:line="440" w:lineRule="exact"/>
        <w:rPr>
          <w:rFonts w:ascii="仿宋" w:hAnsi="仿宋" w:eastAsia="仿宋" w:cs="仿宋"/>
          <w:color w:val="auto"/>
          <w:sz w:val="24"/>
          <w:szCs w:val="24"/>
          <w:highlight w:val="none"/>
        </w:rPr>
      </w:pPr>
    </w:p>
    <w:p>
      <w:pPr>
        <w:spacing w:line="440" w:lineRule="exact"/>
        <w:jc w:val="center"/>
        <w:rPr>
          <w:rFonts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（参加竞争性磋商的供应商以下简称“磋商供应商”）</w:t>
      </w:r>
    </w:p>
    <w:p>
      <w:pPr>
        <w:pStyle w:val="68"/>
        <w:spacing w:before="0" w:after="0" w:line="440" w:lineRule="exact"/>
        <w:ind w:firstLine="0" w:firstLineChars="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一、总则</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1、适用范围</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 本竞争性磋商文件（以下简称磋商文件）仅适用此项目。</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 本项目按照项目分包，分别确定各分包成交供应商。项目分包必须取得采购人的同意；中标（成交）供应商不得将中标项目的主体、关键性工作分包；分包供应商应具备相应资质条件且不得再次分包；小微企业不得分转给大中型企业，中型企业不得分转给大型企业。以及中标、成交供应商与分包供应商的连带责任。（本项目不适用）</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2、项目采购方式</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本次采购采取竞争性磋商的方式。</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3、合格的磋商供应商</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3.1满足本磋商文件“竞争性磋商采购邀请”中合格磋商供应商资格要求的规定。</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3.2 满足本磋商文件实质性要求和条件的规定。</w:t>
      </w:r>
      <w:r>
        <w:rPr>
          <w:rFonts w:hint="eastAsia" w:ascii="仿宋" w:hAnsi="仿宋" w:eastAsia="仿宋" w:cs="仿宋"/>
          <w:color w:val="auto"/>
          <w:sz w:val="24"/>
          <w:szCs w:val="24"/>
          <w:highlight w:val="none"/>
        </w:rPr>
        <w:tab/>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4、参加磋商费用</w:t>
      </w:r>
    </w:p>
    <w:p>
      <w:pPr>
        <w:spacing w:line="440" w:lineRule="exact"/>
        <w:ind w:firstLine="480" w:firstLineChars="200"/>
        <w:rPr>
          <w:rFonts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4.1、</w:t>
      </w:r>
      <w:r>
        <w:rPr>
          <w:rFonts w:hint="eastAsia" w:ascii="仿宋" w:hAnsi="仿宋" w:eastAsia="仿宋" w:cs="仿宋"/>
          <w:b/>
          <w:bCs/>
          <w:color w:val="auto"/>
          <w:sz w:val="24"/>
          <w:szCs w:val="24"/>
          <w:highlight w:val="none"/>
        </w:rPr>
        <w:t>供应商响应文件供应商应承担其编制磋商文件以及递交磋商文件所涉及的一切费用，磋商文件每套售价300元，</w:t>
      </w:r>
      <w:r>
        <w:rPr>
          <w:rFonts w:hint="eastAsia" w:ascii="仿宋" w:hAnsi="仿宋" w:eastAsia="仿宋" w:cs="仿宋"/>
          <w:b/>
          <w:color w:val="auto"/>
          <w:sz w:val="23"/>
          <w:szCs w:val="23"/>
          <w:highlight w:val="none"/>
        </w:rPr>
        <w:t>递交投标文件时同时递交</w:t>
      </w:r>
      <w:r>
        <w:rPr>
          <w:rFonts w:hint="eastAsia" w:ascii="仿宋" w:hAnsi="仿宋" w:eastAsia="仿宋" w:cs="仿宋"/>
          <w:b/>
          <w:bCs/>
          <w:color w:val="auto"/>
          <w:sz w:val="24"/>
          <w:szCs w:val="24"/>
          <w:highlight w:val="none"/>
        </w:rPr>
        <w:t>，否则视为放弃投标权利处理。无论投标结果如何，采购人对上述费用不负任何责任。</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5、磋商文件的约束力</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供应商一旦下载了本磋商文件并决定参加磋商，即被认为接受了本磋商文件的规定和约束，并且视为自竞争性磋商公告期限届满之日起已经知道或应当知道自身权益是否受到了损害。</w:t>
      </w:r>
    </w:p>
    <w:p>
      <w:pPr>
        <w:spacing w:line="440" w:lineRule="exact"/>
        <w:ind w:firstLine="600" w:firstLineChars="25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bookmarkStart w:id="35" w:name="_Toc462564070"/>
      <w:bookmarkEnd w:id="35"/>
      <w:bookmarkStart w:id="36" w:name="_Toc16938527"/>
      <w:bookmarkEnd w:id="36"/>
      <w:bookmarkStart w:id="37" w:name="_Toc513029211"/>
      <w:bookmarkEnd w:id="37"/>
      <w:bookmarkStart w:id="38" w:name="_Toc20823283"/>
      <w:r>
        <w:rPr>
          <w:rFonts w:hint="eastAsia" w:ascii="仿宋" w:hAnsi="仿宋" w:eastAsia="仿宋" w:cs="仿宋"/>
          <w:color w:val="auto"/>
          <w:sz w:val="24"/>
          <w:szCs w:val="24"/>
          <w:highlight w:val="none"/>
        </w:rPr>
        <w:t>磋商文件的</w:t>
      </w:r>
      <w:bookmarkEnd w:id="38"/>
      <w:r>
        <w:rPr>
          <w:rFonts w:hint="eastAsia" w:ascii="仿宋" w:hAnsi="仿宋" w:eastAsia="仿宋" w:cs="仿宋"/>
          <w:color w:val="auto"/>
          <w:sz w:val="24"/>
          <w:szCs w:val="24"/>
          <w:highlight w:val="none"/>
        </w:rPr>
        <w:t>询问及修改</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6.1任何要求对磋商文件进行询问的供应商，均应在本磋商文件公告期限届满之日内以电子文件形式（不具单位名称）发送至</w:t>
      </w:r>
      <w:r>
        <w:rPr>
          <w:rFonts w:hint="eastAsia" w:ascii="仿宋" w:hAnsi="仿宋" w:eastAsia="仿宋" w:cs="仿宋"/>
          <w:b/>
          <w:bCs/>
          <w:color w:val="auto"/>
          <w:sz w:val="24"/>
          <w:szCs w:val="24"/>
          <w:highlight w:val="none"/>
        </w:rPr>
        <w:t>ntxyjhy@163.com</w:t>
      </w:r>
      <w:r>
        <w:rPr>
          <w:rFonts w:hint="eastAsia" w:ascii="仿宋" w:hAnsi="仿宋" w:eastAsia="仿宋" w:cs="仿宋"/>
          <w:color w:val="auto"/>
          <w:sz w:val="24"/>
          <w:szCs w:val="24"/>
          <w:highlight w:val="none"/>
        </w:rPr>
        <w:t>邮箱向采购人或代理机构提出。提交首次响应文件截止之日前，代理机构可以对已发出的磋商文件进行必要的澄清或者修改，澄清或者修改的内容作为磋商文件的组成部分。澄清或者修改的内容可能影响响应文件编制的，代理机构将在提交首次响应文件截止时间至少五日前，在南通苏锡通科技产业园区上发布书面更正公告形式通知所有获取磋商文件的供应商。不足五日的，代理机构应当顺延提交首次响应文件截止时间。</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6.2代理机构或采购人可以视采购项目的具体情况，组织供应商进行现场考察或召开磋商前答疑会，但不单独或分别组织只有一个供应商参加的现场考察和答疑会。</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7、磋商文件的解释</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7.1 本磋商文件由代理机构负责解释。</w:t>
      </w:r>
    </w:p>
    <w:p>
      <w:pPr>
        <w:pStyle w:val="68"/>
        <w:spacing w:before="0" w:after="0" w:line="440" w:lineRule="exact"/>
        <w:ind w:firstLine="0" w:firstLineChars="0"/>
        <w:jc w:val="both"/>
        <w:rPr>
          <w:rFonts w:ascii="仿宋" w:hAnsi="仿宋" w:eastAsia="仿宋" w:cs="仿宋"/>
          <w:color w:val="auto"/>
          <w:sz w:val="24"/>
          <w:szCs w:val="24"/>
          <w:highlight w:val="none"/>
        </w:rPr>
      </w:pPr>
      <w:bookmarkStart w:id="39" w:name="_Toc61149553"/>
      <w:bookmarkEnd w:id="39"/>
      <w:bookmarkStart w:id="40" w:name="_Toc513029213"/>
      <w:bookmarkEnd w:id="40"/>
      <w:bookmarkStart w:id="41" w:name="_Toc14577351"/>
      <w:bookmarkEnd w:id="41"/>
      <w:bookmarkStart w:id="42" w:name="_Toc462564072"/>
      <w:r>
        <w:rPr>
          <w:rFonts w:hint="eastAsia" w:ascii="仿宋" w:hAnsi="仿宋" w:eastAsia="仿宋" w:cs="仿宋"/>
          <w:color w:val="auto"/>
          <w:sz w:val="24"/>
          <w:szCs w:val="24"/>
          <w:highlight w:val="none"/>
        </w:rPr>
        <w:t>二、供应商响应文件的编制</w:t>
      </w:r>
      <w:bookmarkEnd w:id="42"/>
    </w:p>
    <w:p>
      <w:pPr>
        <w:spacing w:line="440" w:lineRule="exact"/>
        <w:ind w:firstLine="480" w:firstLineChars="200"/>
        <w:jc w:val="left"/>
        <w:rPr>
          <w:rFonts w:ascii="仿宋" w:hAnsi="仿宋" w:eastAsia="仿宋" w:cs="仿宋"/>
          <w:color w:val="auto"/>
          <w:sz w:val="24"/>
          <w:szCs w:val="24"/>
          <w:highlight w:val="none"/>
        </w:rPr>
      </w:pPr>
      <w:bookmarkStart w:id="43" w:name="_Toc513029219"/>
      <w:bookmarkEnd w:id="43"/>
      <w:bookmarkStart w:id="44" w:name="_Toc61149561"/>
      <w:bookmarkEnd w:id="44"/>
      <w:bookmarkStart w:id="45" w:name="_Toc14577355"/>
      <w:bookmarkEnd w:id="45"/>
      <w:bookmarkStart w:id="46" w:name="_Toc61149557"/>
      <w:bookmarkEnd w:id="46"/>
      <w:bookmarkStart w:id="47" w:name="_Toc14577353"/>
      <w:bookmarkEnd w:id="47"/>
      <w:bookmarkStart w:id="48" w:name="_Toc14577357"/>
      <w:bookmarkEnd w:id="48"/>
      <w:bookmarkStart w:id="49" w:name="_Toc513029215"/>
      <w:bookmarkEnd w:id="49"/>
      <w:bookmarkStart w:id="50" w:name="_Toc462564074"/>
      <w:bookmarkEnd w:id="50"/>
      <w:bookmarkStart w:id="51" w:name="_Toc513029223"/>
      <w:bookmarkEnd w:id="51"/>
      <w:bookmarkStart w:id="52" w:name="_Toc61149558"/>
      <w:bookmarkEnd w:id="52"/>
      <w:bookmarkStart w:id="53" w:name="_Toc61149554"/>
      <w:bookmarkEnd w:id="53"/>
      <w:bookmarkStart w:id="54" w:name="_Toc462564073"/>
      <w:bookmarkEnd w:id="54"/>
      <w:bookmarkStart w:id="55" w:name="_Toc61149555"/>
      <w:bookmarkEnd w:id="55"/>
      <w:bookmarkStart w:id="56" w:name="_Toc513029214"/>
      <w:bookmarkEnd w:id="56"/>
      <w:r>
        <w:rPr>
          <w:rFonts w:hint="eastAsia" w:ascii="仿宋" w:hAnsi="仿宋" w:eastAsia="仿宋" w:cs="仿宋"/>
          <w:color w:val="auto"/>
          <w:sz w:val="24"/>
          <w:szCs w:val="24"/>
          <w:highlight w:val="none"/>
        </w:rPr>
        <w:t>1、磋商响应文件内容</w:t>
      </w:r>
    </w:p>
    <w:p>
      <w:pPr>
        <w:pStyle w:val="3"/>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r>
        <w:rPr>
          <w:rFonts w:hint="eastAsia" w:ascii="仿宋" w:hAnsi="仿宋" w:eastAsia="仿宋" w:cs="仿宋"/>
          <w:b/>
          <w:color w:val="auto"/>
          <w:sz w:val="23"/>
          <w:szCs w:val="23"/>
          <w:highlight w:val="none"/>
        </w:rPr>
        <w:t>资格审查资料包（可提供一个密封包，一正二副）</w:t>
      </w:r>
    </w:p>
    <w:p>
      <w:pPr>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bCs/>
          <w:color w:val="auto"/>
          <w:sz w:val="24"/>
          <w:szCs w:val="24"/>
          <w:highlight w:val="none"/>
        </w:rPr>
        <w:t>（1）</w:t>
      </w:r>
      <w:r>
        <w:rPr>
          <w:rFonts w:hint="eastAsia" w:ascii="仿宋" w:hAnsi="仿宋" w:eastAsia="仿宋" w:cs="仿宋"/>
          <w:color w:val="auto"/>
          <w:sz w:val="24"/>
          <w:szCs w:val="24"/>
          <w:highlight w:val="none"/>
        </w:rPr>
        <w:t>法人或者其他组织的营业执照等证明文件，自然人的身份证明。</w:t>
      </w:r>
    </w:p>
    <w:p>
      <w:pPr>
        <w:spacing w:line="440" w:lineRule="exact"/>
        <w:ind w:firstLine="480" w:firstLineChars="200"/>
        <w:rPr>
          <w:rFonts w:ascii="仿宋" w:hAnsi="仿宋" w:eastAsia="仿宋" w:cs="仿宋"/>
          <w:color w:val="auto"/>
          <w:kern w:val="0"/>
          <w:sz w:val="24"/>
          <w:szCs w:val="24"/>
          <w:highlight w:val="none"/>
        </w:rPr>
      </w:pPr>
      <w:r>
        <w:rPr>
          <w:rFonts w:hint="eastAsia" w:ascii="仿宋" w:hAnsi="仿宋" w:eastAsia="仿宋" w:cs="仿宋"/>
          <w:bCs/>
          <w:color w:val="auto"/>
          <w:sz w:val="24"/>
          <w:szCs w:val="24"/>
          <w:highlight w:val="none"/>
        </w:rPr>
        <w:t>（2）</w:t>
      </w:r>
      <w:r>
        <w:rPr>
          <w:rFonts w:hint="eastAsia" w:ascii="仿宋" w:hAnsi="仿宋" w:eastAsia="仿宋" w:cs="仿宋"/>
          <w:color w:val="auto"/>
          <w:sz w:val="24"/>
          <w:szCs w:val="24"/>
          <w:highlight w:val="none"/>
        </w:rPr>
        <w:t>响应供应商符合《政府采购法》第二十二条规定条件的声明函（按磋商文件后附格式）。</w:t>
      </w:r>
    </w:p>
    <w:p>
      <w:pPr>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3）供应商法定代表人参加的，必须提供法定代表人身份证明及法定代表人本人身份证复印件（格式参见第七章）；非法定代表人参加的，必须提供法定代表人签字或盖章的授权委托书及法定代表人、被授权人的两人身份证的复印件（格式参见第七章）的这两项（须加盖公章）。</w:t>
      </w:r>
    </w:p>
    <w:p>
      <w:pPr>
        <w:spacing w:line="440" w:lineRule="exact"/>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磋商供应商未被“信用中国”网站、中国政府采购网、国家企业信用信息公示系统列入失信被执行人、重大税收违法案件当事人名单、政府采购严重违法失信行为记录名单、异常经营名录、严重违法失信企业名单；为确保政府采购守法供应商公平参加政府采购活动，采购代理机构将在开标开始后一个小时内，通过“信用中国”网站和中国政府采购网和国家企业信用信息公示系统对供应商信用信息进行查询查证，并将查询记录截屏打印保存在采购档案内。如核实未通过，经评标小组确认后资格审查不予通过。</w:t>
      </w:r>
    </w:p>
    <w:p>
      <w:pPr>
        <w:pStyle w:val="2"/>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（5）中小企业申明函（按磋商文件后附格式）。</w:t>
      </w:r>
    </w:p>
    <w:p>
      <w:pPr>
        <w:pStyle w:val="2"/>
        <w:ind w:firstLine="482"/>
        <w:rPr>
          <w:rFonts w:ascii="仿宋" w:hAnsi="仿宋" w:eastAsia="仿宋" w:cs="仿宋"/>
          <w:b/>
          <w:color w:val="auto"/>
          <w:highlight w:val="none"/>
        </w:rPr>
      </w:pPr>
      <w:r>
        <w:rPr>
          <w:rFonts w:hint="eastAsia" w:ascii="仿宋" w:hAnsi="仿宋" w:eastAsia="仿宋" w:cs="仿宋"/>
          <w:b/>
          <w:color w:val="auto"/>
          <w:sz w:val="24"/>
          <w:highlight w:val="none"/>
        </w:rPr>
        <w:t>（6）响应供应商具有江苏省土地规划机构评价推荐证书丙级（含）以上资质，提供有效证书原件复印件。</w:t>
      </w:r>
    </w:p>
    <w:p>
      <w:pPr>
        <w:snapToGrid w:val="0"/>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（7）符合法律、法规规定的其他条件。</w:t>
      </w:r>
    </w:p>
    <w:p>
      <w:pPr>
        <w:pStyle w:val="3"/>
        <w:spacing w:line="440" w:lineRule="exact"/>
        <w:ind w:firstLine="600" w:firstLineChars="2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以上未尽之处详见第五章资格审查</w:t>
      </w:r>
    </w:p>
    <w:p>
      <w:pPr>
        <w:spacing w:line="440" w:lineRule="exact"/>
        <w:rPr>
          <w:rFonts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1.2  技术标（可提供一个密封包，一正二副）</w:t>
      </w:r>
    </w:p>
    <w:p>
      <w:pPr>
        <w:pStyle w:val="98"/>
        <w:numPr>
          <w:ilvl w:val="0"/>
          <w:numId w:val="3"/>
        </w:numPr>
        <w:spacing w:line="440" w:lineRule="exact"/>
        <w:ind w:left="0" w:firstLine="482"/>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封面</w:t>
      </w:r>
    </w:p>
    <w:p>
      <w:pPr>
        <w:pStyle w:val="98"/>
        <w:numPr>
          <w:ilvl w:val="0"/>
          <w:numId w:val="3"/>
        </w:numPr>
        <w:spacing w:line="440" w:lineRule="exact"/>
        <w:ind w:left="0" w:firstLine="482"/>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投标响应函</w:t>
      </w:r>
    </w:p>
    <w:p>
      <w:pPr>
        <w:pStyle w:val="98"/>
        <w:numPr>
          <w:ilvl w:val="0"/>
          <w:numId w:val="3"/>
        </w:numPr>
        <w:adjustRightInd w:val="0"/>
        <w:snapToGrid w:val="0"/>
        <w:spacing w:line="440" w:lineRule="exact"/>
        <w:ind w:left="0" w:firstLine="482"/>
        <w:jc w:val="left"/>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根据第六章“评标办法”2.2.2 条款技术标的评审因素及评审标准提供相关投标资料。</w:t>
      </w:r>
    </w:p>
    <w:p>
      <w:pPr>
        <w:pStyle w:val="98"/>
        <w:numPr>
          <w:ilvl w:val="0"/>
          <w:numId w:val="3"/>
        </w:numPr>
        <w:adjustRightInd w:val="0"/>
        <w:snapToGrid w:val="0"/>
        <w:spacing w:line="440" w:lineRule="exact"/>
        <w:ind w:left="0" w:firstLine="482"/>
        <w:jc w:val="left"/>
        <w:rPr>
          <w:rFonts w:ascii="仿宋" w:hAnsi="仿宋" w:eastAsia="仿宋" w:cs="仿宋"/>
          <w:b/>
          <w:bCs/>
          <w:color w:val="auto"/>
          <w:kern w:val="0"/>
          <w:sz w:val="24"/>
          <w:szCs w:val="24"/>
          <w:highlight w:val="none"/>
        </w:rPr>
      </w:pPr>
      <w:r>
        <w:rPr>
          <w:rFonts w:hint="eastAsia" w:ascii="仿宋" w:hAnsi="仿宋" w:eastAsia="仿宋" w:cs="仿宋"/>
          <w:b/>
          <w:bCs/>
          <w:color w:val="auto"/>
          <w:sz w:val="24"/>
          <w:szCs w:val="24"/>
          <w:highlight w:val="none"/>
        </w:rPr>
        <w:t>商务部分正负偏离表</w:t>
      </w:r>
    </w:p>
    <w:p>
      <w:pPr>
        <w:pStyle w:val="98"/>
        <w:numPr>
          <w:ilvl w:val="0"/>
          <w:numId w:val="3"/>
        </w:numPr>
        <w:adjustRightInd w:val="0"/>
        <w:snapToGrid w:val="0"/>
        <w:spacing w:line="440" w:lineRule="exact"/>
        <w:ind w:left="0" w:firstLine="482"/>
        <w:jc w:val="left"/>
        <w:rPr>
          <w:rFonts w:ascii="仿宋" w:hAnsi="仿宋" w:eastAsia="仿宋" w:cs="仿宋"/>
          <w:b/>
          <w:bCs/>
          <w:color w:val="auto"/>
          <w:kern w:val="0"/>
          <w:sz w:val="24"/>
          <w:szCs w:val="24"/>
          <w:highlight w:val="none"/>
        </w:rPr>
      </w:pPr>
      <w:r>
        <w:rPr>
          <w:rFonts w:hint="eastAsia" w:ascii="仿宋" w:hAnsi="仿宋" w:eastAsia="仿宋" w:cs="仿宋"/>
          <w:b/>
          <w:bCs/>
          <w:color w:val="auto"/>
          <w:sz w:val="24"/>
          <w:szCs w:val="24"/>
          <w:highlight w:val="none"/>
        </w:rPr>
        <w:t>技术部分正负偏离表</w:t>
      </w:r>
    </w:p>
    <w:p>
      <w:pPr>
        <w:pStyle w:val="98"/>
        <w:numPr>
          <w:ilvl w:val="0"/>
          <w:numId w:val="3"/>
        </w:numPr>
        <w:adjustRightInd w:val="0"/>
        <w:snapToGrid w:val="0"/>
        <w:spacing w:line="440" w:lineRule="exact"/>
        <w:ind w:left="0" w:firstLine="480"/>
        <w:jc w:val="left"/>
        <w:rPr>
          <w:rFonts w:ascii="仿宋" w:hAnsi="仿宋" w:eastAsia="仿宋" w:cs="仿宋"/>
          <w:b/>
          <w:bCs/>
          <w:color w:val="auto"/>
          <w:kern w:val="0"/>
          <w:sz w:val="24"/>
          <w:szCs w:val="24"/>
          <w:highlight w:val="none"/>
        </w:rPr>
      </w:pPr>
      <w:r>
        <w:rPr>
          <w:rFonts w:hint="eastAsia" w:ascii="仿宋" w:hAnsi="仿宋" w:eastAsia="仿宋" w:cs="仿宋"/>
          <w:color w:val="auto"/>
          <w:sz w:val="24"/>
          <w:szCs w:val="24"/>
          <w:highlight w:val="none"/>
        </w:rPr>
        <w:t>投标人认为需要提交的其他资料。</w:t>
      </w:r>
    </w:p>
    <w:p>
      <w:pPr>
        <w:adjustRightInd w:val="0"/>
        <w:snapToGrid w:val="0"/>
        <w:spacing w:line="440" w:lineRule="exact"/>
        <w:ind w:firstLine="200"/>
        <w:jc w:val="left"/>
        <w:rPr>
          <w:rFonts w:ascii="仿宋" w:hAnsi="仿宋" w:eastAsia="仿宋" w:cs="仿宋"/>
          <w:bCs/>
          <w:color w:val="auto"/>
          <w:sz w:val="24"/>
          <w:szCs w:val="24"/>
          <w:highlight w:val="none"/>
        </w:rPr>
      </w:pPr>
      <w:r>
        <w:rPr>
          <w:rFonts w:hint="eastAsia" w:ascii="仿宋" w:hAnsi="仿宋" w:eastAsia="仿宋" w:cs="仿宋"/>
          <w:color w:val="auto"/>
          <w:kern w:val="0"/>
          <w:sz w:val="24"/>
          <w:szCs w:val="24"/>
          <w:highlight w:val="none"/>
        </w:rPr>
        <w:t>注明：各投标单位根据本项目技术标文件目录中的内容按顺序编制目录和页码范围（以</w:t>
      </w:r>
      <w:r>
        <w:rPr>
          <w:rFonts w:hint="eastAsia" w:ascii="仿宋" w:hAnsi="仿宋" w:eastAsia="仿宋" w:cs="仿宋"/>
          <w:bCs/>
          <w:color w:val="auto"/>
          <w:sz w:val="24"/>
          <w:szCs w:val="24"/>
          <w:highlight w:val="none"/>
        </w:rPr>
        <w:t>上条款的具体内容及要求请按照本磋商文件第六章“评标办法”2.2.2 条款技术标的评审因素及评审标准提供相关投标资料），以上条款中相关所有证明材料或证书需提供复印件并加盖单位公章，投标文件中资料不清晰或资料不全的不予得分。造成一切后果由投标单位承担。</w:t>
      </w:r>
    </w:p>
    <w:p>
      <w:pPr>
        <w:spacing w:line="440" w:lineRule="exact"/>
        <w:ind w:firstLine="460" w:firstLineChars="200"/>
        <w:jc w:val="left"/>
        <w:rPr>
          <w:rFonts w:ascii="仿宋" w:hAnsi="仿宋" w:eastAsia="仿宋" w:cs="仿宋"/>
          <w:b/>
          <w:color w:val="auto"/>
          <w:kern w:val="0"/>
          <w:sz w:val="24"/>
          <w:szCs w:val="24"/>
          <w:highlight w:val="none"/>
        </w:rPr>
      </w:pPr>
      <w:r>
        <w:rPr>
          <w:rFonts w:hint="eastAsia" w:ascii="仿宋" w:hAnsi="仿宋" w:eastAsia="仿宋" w:cs="仿宋"/>
          <w:b/>
          <w:color w:val="auto"/>
          <w:sz w:val="23"/>
          <w:szCs w:val="23"/>
          <w:highlight w:val="none"/>
        </w:rPr>
        <w:t>1.3</w:t>
      </w:r>
      <w:r>
        <w:rPr>
          <w:rFonts w:hint="eastAsia" w:ascii="仿宋" w:hAnsi="仿宋" w:eastAsia="仿宋" w:cs="仿宋"/>
          <w:b/>
          <w:color w:val="auto"/>
          <w:kern w:val="0"/>
          <w:sz w:val="24"/>
          <w:szCs w:val="24"/>
          <w:highlight w:val="none"/>
        </w:rPr>
        <w:t>报价标包（可提供一个密封包，一正二副）</w:t>
      </w:r>
    </w:p>
    <w:p>
      <w:pPr>
        <w:pStyle w:val="98"/>
        <w:numPr>
          <w:ilvl w:val="0"/>
          <w:numId w:val="4"/>
        </w:numPr>
        <w:spacing w:line="440" w:lineRule="exact"/>
        <w:ind w:firstLineChars="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封面</w:t>
      </w:r>
    </w:p>
    <w:p>
      <w:pPr>
        <w:pStyle w:val="98"/>
        <w:numPr>
          <w:ilvl w:val="0"/>
          <w:numId w:val="4"/>
        </w:numPr>
        <w:spacing w:line="440" w:lineRule="exact"/>
        <w:ind w:firstLineChars="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供应商响应文件报价表（第一次磋商报价）</w:t>
      </w:r>
    </w:p>
    <w:p>
      <w:pPr>
        <w:pStyle w:val="98"/>
        <w:numPr>
          <w:ilvl w:val="0"/>
          <w:numId w:val="4"/>
        </w:numPr>
        <w:spacing w:line="440" w:lineRule="exact"/>
        <w:ind w:firstLineChars="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供应商响应报价明细表（第一次磋商报价）</w:t>
      </w:r>
    </w:p>
    <w:p>
      <w:pPr>
        <w:pStyle w:val="98"/>
        <w:numPr>
          <w:ilvl w:val="0"/>
          <w:numId w:val="4"/>
        </w:numPr>
        <w:spacing w:line="440" w:lineRule="exact"/>
        <w:ind w:firstLineChars="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供应商响应文件报价表（最终）</w:t>
      </w:r>
    </w:p>
    <w:p>
      <w:pPr>
        <w:pStyle w:val="3"/>
        <w:spacing w:line="440" w:lineRule="exact"/>
        <w:ind w:firstLine="480" w:firstLineChars="200"/>
        <w:jc w:val="lef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注明：供应商响应文件报价表（最终），此表投标报价请空着，在开标现场填写，需提前加盖公章。</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2、磋商报价</w:t>
      </w:r>
    </w:p>
    <w:p>
      <w:pPr>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2.1.本项目采用总价报价，供应商应按采购人提供的项目需求，填报综合单价，并汇总报价。只允许有一个报价。任何有选择的报价将不予接受。</w:t>
      </w:r>
    </w:p>
    <w:p>
      <w:pPr>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2.2标的物</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详见项目工作内容和技术要求。</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2.3有关费用处理</w:t>
      </w:r>
    </w:p>
    <w:p>
      <w:pPr>
        <w:pStyle w:val="75"/>
        <w:snapToGrid w:val="0"/>
        <w:spacing w:line="440" w:lineRule="exact"/>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本次采购磋商供应商的总报价应包括完成本次招标范围内全部工作内容所需的所有费用。</w:t>
      </w:r>
    </w:p>
    <w:p>
      <w:pPr>
        <w:pStyle w:val="75"/>
        <w:snapToGrid w:val="0"/>
        <w:spacing w:line="440" w:lineRule="exact"/>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1）磋商最终报价应是固定不变的，不得以任何理由予以变更。任何可变的或者附有条件的响应报价，采购人均将予以拒绝。</w:t>
      </w:r>
    </w:p>
    <w:p>
      <w:pPr>
        <w:pStyle w:val="3"/>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2）最低响应报价不能作为本次招标采购的成交保证。</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2.4报价费用</w:t>
      </w:r>
    </w:p>
    <w:p>
      <w:pPr>
        <w:snapToGrid w:val="0"/>
        <w:spacing w:line="420" w:lineRule="exact"/>
        <w:ind w:firstLine="120" w:firstLineChars="50"/>
        <w:rPr>
          <w:rFonts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即主要包括（但不限于）：</w:t>
      </w:r>
      <w:r>
        <w:rPr>
          <w:rFonts w:hint="eastAsia" w:ascii="仿宋" w:hAnsi="仿宋" w:eastAsia="仿宋" w:cs="仿宋"/>
          <w:color w:val="auto"/>
          <w:kern w:val="0"/>
          <w:sz w:val="24"/>
          <w:szCs w:val="24"/>
          <w:highlight w:val="none"/>
        </w:rPr>
        <w:t>完成本次招标范围内全部工作内容所需所有费用。其中应包括但不限于</w:t>
      </w:r>
      <w:r>
        <w:rPr>
          <w:rFonts w:hint="eastAsia" w:ascii="仿宋" w:hAnsi="仿宋" w:eastAsia="仿宋" w:cs="仿宋"/>
          <w:color w:val="auto"/>
          <w:sz w:val="24"/>
          <w:szCs w:val="24"/>
          <w:highlight w:val="none"/>
        </w:rPr>
        <w:t>但不限于</w:t>
      </w:r>
      <w:r>
        <w:rPr>
          <w:rFonts w:hint="eastAsia" w:ascii="仿宋" w:hAnsi="仿宋" w:eastAsia="仿宋" w:cs="仿宋"/>
          <w:bCs/>
          <w:color w:val="auto"/>
          <w:sz w:val="24"/>
          <w:szCs w:val="24"/>
          <w:highlight w:val="none"/>
        </w:rPr>
        <w:t>勘测费、调查费、劳务费、咨询费、会务费、出版费、管理费、方案编制费、资料收集、专家论证、成果验收、利润、税金、保险等与此有关的一切费用。供应商中标后应根据国家、省、市、工程所在地政府及相关部门的规定缴纳有关费用</w:t>
      </w:r>
      <w:r>
        <w:rPr>
          <w:rFonts w:hint="eastAsia" w:ascii="仿宋" w:hAnsi="仿宋" w:eastAsia="仿宋" w:cs="仿宋"/>
          <w:color w:val="auto"/>
          <w:kern w:val="0"/>
          <w:sz w:val="24"/>
          <w:szCs w:val="24"/>
          <w:highlight w:val="none"/>
        </w:rPr>
        <w:t>。即招标物服务周期结束前的所有费用且包含响应磋商文件采购要求的所有费用。</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2.5报价采用的货币</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响应文件中的单价和总价，无特殊规定的采用人民币报价，以元为单位标注。磋商文件中另有规定的按规定执行。</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2.6 供应商响应文件报价表上的价格应按磋商文件规定填写。</w:t>
      </w:r>
    </w:p>
    <w:p>
      <w:pPr>
        <w:spacing w:line="440" w:lineRule="exact"/>
        <w:ind w:firstLine="480" w:firstLineChars="200"/>
        <w:jc w:val="left"/>
        <w:rPr>
          <w:rFonts w:ascii="仿宋" w:hAnsi="仿宋" w:eastAsia="仿宋" w:cs="仿宋"/>
          <w:color w:val="auto"/>
          <w:sz w:val="24"/>
          <w:szCs w:val="24"/>
          <w:highlight w:val="none"/>
        </w:rPr>
      </w:pPr>
      <w:bookmarkStart w:id="57" w:name="_Toc14577359"/>
      <w:bookmarkEnd w:id="57"/>
      <w:bookmarkStart w:id="58" w:name="_Toc513029221"/>
      <w:bookmarkEnd w:id="58"/>
      <w:bookmarkStart w:id="59" w:name="_Toc61149559"/>
      <w:r>
        <w:rPr>
          <w:rFonts w:hint="eastAsia" w:ascii="仿宋" w:hAnsi="仿宋" w:eastAsia="仿宋" w:cs="仿宋"/>
          <w:color w:val="auto"/>
          <w:sz w:val="24"/>
          <w:szCs w:val="24"/>
          <w:highlight w:val="none"/>
        </w:rPr>
        <w:t>3、项目工作内容和技术要求响应方案</w:t>
      </w:r>
      <w:bookmarkEnd w:id="59"/>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3.1提供为完成本项目的总体实施方案。</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3.2对磋商文件中项目工作内容和技术要求的技术与商务条款要求逐项作出应答，并提供依据或说明。</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3.3磋商供应商认为需要的其他技术文件或说明。</w:t>
      </w:r>
    </w:p>
    <w:p>
      <w:pPr>
        <w:pStyle w:val="68"/>
        <w:spacing w:before="0" w:after="0" w:line="440" w:lineRule="exact"/>
        <w:ind w:firstLine="0" w:firstLineChars="0"/>
        <w:jc w:val="both"/>
        <w:rPr>
          <w:rFonts w:ascii="仿宋" w:hAnsi="仿宋" w:eastAsia="仿宋" w:cs="仿宋"/>
          <w:color w:val="auto"/>
          <w:sz w:val="24"/>
          <w:szCs w:val="24"/>
          <w:highlight w:val="none"/>
        </w:rPr>
      </w:pPr>
      <w:bookmarkStart w:id="60" w:name="_Toc14577362"/>
      <w:bookmarkEnd w:id="60"/>
      <w:bookmarkStart w:id="61" w:name="_Toc513029224"/>
      <w:bookmarkEnd w:id="61"/>
      <w:bookmarkStart w:id="62" w:name="_Toc61149562"/>
      <w:r>
        <w:rPr>
          <w:rFonts w:hint="eastAsia" w:ascii="仿宋" w:hAnsi="仿宋" w:eastAsia="仿宋" w:cs="仿宋"/>
          <w:color w:val="auto"/>
          <w:sz w:val="24"/>
          <w:szCs w:val="24"/>
          <w:highlight w:val="none"/>
        </w:rPr>
        <w:t>三、纸质磋商供应商响应文件的递交</w:t>
      </w:r>
      <w:bookmarkEnd w:id="62"/>
    </w:p>
    <w:p>
      <w:pPr>
        <w:spacing w:line="440" w:lineRule="exact"/>
        <w:ind w:firstLine="480" w:firstLineChars="200"/>
        <w:jc w:val="left"/>
        <w:rPr>
          <w:rFonts w:ascii="仿宋" w:hAnsi="仿宋" w:eastAsia="仿宋" w:cs="仿宋"/>
          <w:color w:val="auto"/>
          <w:sz w:val="24"/>
          <w:szCs w:val="24"/>
          <w:highlight w:val="none"/>
        </w:rPr>
      </w:pPr>
      <w:bookmarkStart w:id="63" w:name="_Toc513029225"/>
      <w:bookmarkEnd w:id="63"/>
      <w:bookmarkStart w:id="64" w:name="_Toc462564084"/>
      <w:bookmarkEnd w:id="64"/>
      <w:bookmarkStart w:id="65" w:name="_Toc14577363"/>
      <w:bookmarkEnd w:id="65"/>
      <w:bookmarkStart w:id="66" w:name="_Toc61149563"/>
      <w:r>
        <w:rPr>
          <w:rFonts w:hint="eastAsia" w:ascii="仿宋" w:hAnsi="仿宋" w:eastAsia="仿宋" w:cs="仿宋"/>
          <w:color w:val="auto"/>
          <w:sz w:val="24"/>
          <w:szCs w:val="24"/>
          <w:highlight w:val="none"/>
        </w:rPr>
        <w:t>1、响应文件的密封和标记</w:t>
      </w:r>
      <w:bookmarkEnd w:id="66"/>
    </w:p>
    <w:p>
      <w:pPr>
        <w:spacing w:line="440" w:lineRule="exact"/>
        <w:ind w:firstLine="484" w:firstLineChars="20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1.11.1磋商供应商应严格按照磋商文件要求的份数准备响应文件，每份响应文件须清楚地标明“正本”或“副本”字样。磋商供应商应将“资格审查资料包”、“技术标包”、“报价标包”内的所有材料及复印件，须加盖本项目响应单位的公章并装订成册，各一份“正本”，二份“副本”，以便在评审时，供评委检查及提供留存。</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1.2密封的响应文件应：</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（1）按采购邀请中注明的地址送达规定地点；</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（2）注明参加磋商项目名称、磋商文件编号及参加的分包号；</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（3）密封包装上应写明磋商供应商名称；</w:t>
      </w:r>
    </w:p>
    <w:p>
      <w:pPr>
        <w:pStyle w:val="38"/>
        <w:spacing w:line="440" w:lineRule="exact"/>
        <w:ind w:right="0"/>
        <w:rPr>
          <w:rFonts w:ascii="仿宋" w:hAnsi="仿宋" w:eastAsia="仿宋" w:cs="仿宋"/>
          <w:color w:val="auto"/>
          <w:highlight w:val="none"/>
        </w:rPr>
      </w:pPr>
      <w:r>
        <w:rPr>
          <w:rFonts w:hint="eastAsia" w:ascii="仿宋" w:hAnsi="仿宋" w:eastAsia="仿宋" w:cs="仿宋"/>
          <w:color w:val="auto"/>
          <w:sz w:val="24"/>
          <w:highlight w:val="none"/>
        </w:rPr>
        <w:t>（4）密封包装袋上均需加盖响应单位公章。</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1.3如果密封包装未按要求密封和加写标记，代理机构对误投或过早启封概不负责。对由此造成提前开封的响应文件，代理机构将予以拒绝，作无效响应处理。</w:t>
      </w:r>
    </w:p>
    <w:p>
      <w:pPr>
        <w:spacing w:line="440" w:lineRule="exact"/>
        <w:ind w:firstLine="480" w:firstLineChars="200"/>
        <w:jc w:val="left"/>
        <w:rPr>
          <w:rFonts w:ascii="仿宋" w:hAnsi="仿宋" w:eastAsia="仿宋" w:cs="仿宋"/>
          <w:color w:val="auto"/>
          <w:sz w:val="24"/>
          <w:szCs w:val="24"/>
          <w:highlight w:val="none"/>
        </w:rPr>
      </w:pPr>
      <w:bookmarkStart w:id="67" w:name="_Toc14577364"/>
      <w:bookmarkEnd w:id="67"/>
      <w:bookmarkStart w:id="68" w:name="_Toc61149564"/>
      <w:bookmarkEnd w:id="68"/>
      <w:bookmarkStart w:id="69" w:name="_Toc513029226"/>
      <w:r>
        <w:rPr>
          <w:rFonts w:hint="eastAsia" w:ascii="仿宋" w:hAnsi="仿宋" w:eastAsia="仿宋" w:cs="仿宋"/>
          <w:color w:val="auto"/>
          <w:sz w:val="24"/>
          <w:szCs w:val="24"/>
          <w:highlight w:val="none"/>
        </w:rPr>
        <w:t>2、</w:t>
      </w:r>
      <w:bookmarkEnd w:id="69"/>
      <w:r>
        <w:rPr>
          <w:rFonts w:hint="eastAsia" w:ascii="仿宋" w:hAnsi="仿宋" w:eastAsia="仿宋" w:cs="仿宋"/>
          <w:color w:val="auto"/>
          <w:sz w:val="24"/>
          <w:szCs w:val="24"/>
          <w:highlight w:val="none"/>
        </w:rPr>
        <w:t>响应文件开启时间</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2.1代理机构收到响应文件的时间不得迟于本磋商文件规定的响应文件接收截止时间。</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2.2代理机构有权通过修改磋商文件推迟响应文件接收截止时间，在此情况下，磋商供应商的所有权利和义务以及受制的响应文件接收截止时间均应以延长后新的响应文件接收截止时间为准。</w:t>
      </w:r>
    </w:p>
    <w:p>
      <w:pPr>
        <w:spacing w:line="440" w:lineRule="exact"/>
        <w:ind w:firstLine="480" w:firstLineChars="200"/>
        <w:jc w:val="left"/>
        <w:rPr>
          <w:rFonts w:ascii="仿宋" w:hAnsi="仿宋" w:eastAsia="仿宋" w:cs="仿宋"/>
          <w:color w:val="auto"/>
          <w:sz w:val="24"/>
          <w:szCs w:val="24"/>
          <w:highlight w:val="none"/>
        </w:rPr>
      </w:pPr>
      <w:bookmarkStart w:id="70" w:name="_Toc61149565"/>
      <w:bookmarkEnd w:id="70"/>
      <w:bookmarkStart w:id="71" w:name="_Toc14577365"/>
      <w:bookmarkEnd w:id="71"/>
      <w:bookmarkStart w:id="72" w:name="_Toc513029227"/>
      <w:r>
        <w:rPr>
          <w:rFonts w:hint="eastAsia" w:ascii="仿宋" w:hAnsi="仿宋" w:eastAsia="仿宋" w:cs="仿宋"/>
          <w:color w:val="auto"/>
          <w:sz w:val="24"/>
          <w:szCs w:val="24"/>
          <w:highlight w:val="none"/>
        </w:rPr>
        <w:t>3、迟交的响应文件</w:t>
      </w:r>
      <w:bookmarkEnd w:id="72"/>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3.1代理机构将拒绝在规定的响应文件接收截止时间后接收任何响应文件。</w:t>
      </w:r>
    </w:p>
    <w:p>
      <w:pPr>
        <w:spacing w:line="440" w:lineRule="exact"/>
        <w:ind w:firstLine="480" w:firstLineChars="200"/>
        <w:jc w:val="left"/>
        <w:rPr>
          <w:rFonts w:ascii="仿宋" w:hAnsi="仿宋" w:eastAsia="仿宋" w:cs="仿宋"/>
          <w:color w:val="auto"/>
          <w:sz w:val="24"/>
          <w:szCs w:val="24"/>
          <w:highlight w:val="none"/>
        </w:rPr>
      </w:pPr>
      <w:bookmarkStart w:id="73" w:name="_Toc14577366"/>
      <w:bookmarkEnd w:id="73"/>
      <w:bookmarkStart w:id="74" w:name="_Toc61149566"/>
      <w:bookmarkEnd w:id="74"/>
      <w:bookmarkStart w:id="75" w:name="_Toc513029228"/>
      <w:r>
        <w:rPr>
          <w:rFonts w:hint="eastAsia" w:ascii="仿宋" w:hAnsi="仿宋" w:eastAsia="仿宋" w:cs="仿宋"/>
          <w:color w:val="auto"/>
          <w:sz w:val="24"/>
          <w:szCs w:val="24"/>
          <w:highlight w:val="none"/>
        </w:rPr>
        <w:t>4、响应文件的修改和撤回</w:t>
      </w:r>
      <w:bookmarkEnd w:id="75"/>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4.1磋商供应商在递交响应文件后，可以修改或撤回其磋商响应文件，但这种修改和撤回，必须在规定的响应文件接收截止时间前，以书面形式送达指定地点。</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4.2磋商供应商的修改或撤回通知书，应按本文件规定进行编制、密封、标记和发送，并应在封套上加注“修改”和“撤回”字样。</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4.3 磋商供应商在提交最后报价之前，可以根据磋商情况退出磋商。</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5、磋商响应有效期</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 磋商响应有效期为代理机构规定的响应文件接收截止时间后六十（60）天。磋商响应有效期比规定短的将被视为非实质性响应性而予以拒绝。</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5.2 在特殊情况下，代理机构于原磋商响应有效期满之前，可向磋商供应商提出延长磋商响应有效期的要求。这种要求与答复均应采用书面形式。磋商供应商可以拒绝代理机构的这一要求而放弃磋商响应，代理机构在接到磋商供应商书面答复后，同意延长磋商响应有效期的磋商供应商既不能要求也不允许修改其响应文件，同时受磋商响应有效期约束的所有权利与义务均延长至新的有效期。</w:t>
      </w:r>
    </w:p>
    <w:p>
      <w:pPr>
        <w:pStyle w:val="68"/>
        <w:spacing w:before="0" w:after="0" w:line="440" w:lineRule="exact"/>
        <w:ind w:firstLine="0" w:firstLineChars="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四、磋商与评审</w:t>
      </w:r>
    </w:p>
    <w:p>
      <w:pPr>
        <w:spacing w:line="440" w:lineRule="exact"/>
        <w:ind w:firstLine="480" w:firstLineChars="200"/>
        <w:jc w:val="left"/>
        <w:rPr>
          <w:rFonts w:ascii="仿宋" w:hAnsi="仿宋" w:eastAsia="仿宋" w:cs="仿宋"/>
          <w:color w:val="auto"/>
          <w:sz w:val="24"/>
          <w:szCs w:val="24"/>
          <w:highlight w:val="none"/>
        </w:rPr>
      </w:pPr>
      <w:bookmarkStart w:id="76" w:name="_Toc513029230"/>
      <w:bookmarkEnd w:id="76"/>
      <w:bookmarkStart w:id="77" w:name="_Toc20823302"/>
      <w:bookmarkEnd w:id="77"/>
      <w:bookmarkStart w:id="78" w:name="_Toc16938546"/>
      <w:r>
        <w:rPr>
          <w:rFonts w:hint="eastAsia" w:ascii="仿宋" w:hAnsi="仿宋" w:eastAsia="仿宋" w:cs="仿宋"/>
          <w:color w:val="auto"/>
          <w:sz w:val="24"/>
          <w:szCs w:val="24"/>
          <w:highlight w:val="none"/>
        </w:rPr>
        <w:t>1、</w:t>
      </w:r>
      <w:bookmarkEnd w:id="78"/>
      <w:r>
        <w:rPr>
          <w:rFonts w:hint="eastAsia" w:ascii="仿宋" w:hAnsi="仿宋" w:eastAsia="仿宋" w:cs="仿宋"/>
          <w:color w:val="auto"/>
          <w:sz w:val="24"/>
          <w:szCs w:val="24"/>
          <w:highlight w:val="none"/>
        </w:rPr>
        <w:t>磋商仪式</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1.1代理机构将在采购邀请中规定的时间和地点组织磋商开始仪式，仪式由代理机构主持，磋商供应商应委派携带有效证件的代表准时参加，参加仪式的代表需签名以证明其出席。</w:t>
      </w:r>
    </w:p>
    <w:p>
      <w:pPr>
        <w:spacing w:line="440" w:lineRule="exact"/>
        <w:ind w:firstLine="480" w:firstLineChars="200"/>
        <w:jc w:val="left"/>
        <w:rPr>
          <w:rFonts w:ascii="仿宋" w:hAnsi="仿宋" w:eastAsia="仿宋" w:cs="仿宋"/>
          <w:color w:val="auto"/>
          <w:sz w:val="24"/>
          <w:szCs w:val="24"/>
          <w:highlight w:val="none"/>
        </w:rPr>
      </w:pPr>
      <w:bookmarkStart w:id="79" w:name="_Toc16938547"/>
      <w:bookmarkEnd w:id="79"/>
      <w:bookmarkStart w:id="80" w:name="_Toc513029231"/>
      <w:bookmarkEnd w:id="80"/>
      <w:bookmarkStart w:id="81" w:name="_Toc20823303"/>
      <w:r>
        <w:rPr>
          <w:rFonts w:hint="eastAsia" w:ascii="仿宋" w:hAnsi="仿宋" w:eastAsia="仿宋" w:cs="仿宋"/>
          <w:color w:val="auto"/>
          <w:sz w:val="24"/>
          <w:szCs w:val="24"/>
          <w:highlight w:val="none"/>
        </w:rPr>
        <w:t>2、磋商小组</w:t>
      </w:r>
      <w:bookmarkEnd w:id="81"/>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2.1 磋商开始仪式结束后，代理机构将立即组织磋商小组进行评审。</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2.2 磋商小组由政府采购评审专家、采购人代表组成，且人员构成符合政府采购有关规定。</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3、磋商评审过程的保密与公正</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3.1磋商小组、采购人和代理机构工作人员、相关监督人员等与评审工作有关的人员，对评审情况以及在评审过程中获悉的国家秘密、商业秘密负有保密责任。</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3.2在磋商评审过程中，磋商供应商不得以任何行为影响磋商评审过程，否则其响应文件将被作为无效响应文件。</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3.3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line="440" w:lineRule="exact"/>
        <w:ind w:firstLine="480" w:firstLineChars="200"/>
        <w:jc w:val="left"/>
        <w:rPr>
          <w:rFonts w:ascii="仿宋" w:hAnsi="仿宋" w:eastAsia="仿宋" w:cs="仿宋"/>
          <w:color w:val="auto"/>
          <w:sz w:val="24"/>
          <w:szCs w:val="24"/>
          <w:highlight w:val="none"/>
        </w:rPr>
      </w:pPr>
      <w:bookmarkStart w:id="82" w:name="_Toc16938548"/>
      <w:bookmarkEnd w:id="82"/>
      <w:bookmarkStart w:id="83" w:name="_Toc513029232"/>
      <w:bookmarkEnd w:id="83"/>
      <w:bookmarkStart w:id="84" w:name="_Toc20823304"/>
      <w:r>
        <w:rPr>
          <w:rFonts w:hint="eastAsia" w:ascii="仿宋" w:hAnsi="仿宋" w:eastAsia="仿宋" w:cs="仿宋"/>
          <w:color w:val="auto"/>
          <w:sz w:val="24"/>
          <w:szCs w:val="24"/>
          <w:highlight w:val="none"/>
        </w:rPr>
        <w:t>4、评审过程的澄清</w:t>
      </w:r>
      <w:bookmarkEnd w:id="84"/>
      <w:r>
        <w:rPr>
          <w:rFonts w:hint="eastAsia" w:ascii="仿宋" w:hAnsi="仿宋" w:eastAsia="仿宋" w:cs="仿宋"/>
          <w:color w:val="auto"/>
          <w:sz w:val="24"/>
          <w:szCs w:val="24"/>
          <w:highlight w:val="none"/>
        </w:rPr>
        <w:t>、说明和更正</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4.2接到磋商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4.3 接到磋商小组澄清要求的供应商如未按规定做出澄清，其风险由供应商自行承担。</w:t>
      </w:r>
    </w:p>
    <w:p>
      <w:pPr>
        <w:spacing w:line="440" w:lineRule="exact"/>
        <w:ind w:firstLine="480" w:firstLineChars="200"/>
        <w:jc w:val="left"/>
        <w:rPr>
          <w:rFonts w:ascii="仿宋" w:hAnsi="仿宋" w:eastAsia="仿宋" w:cs="仿宋"/>
          <w:color w:val="auto"/>
          <w:sz w:val="24"/>
          <w:szCs w:val="24"/>
          <w:highlight w:val="none"/>
        </w:rPr>
      </w:pPr>
      <w:bookmarkStart w:id="85" w:name="_Toc513029233"/>
      <w:bookmarkEnd w:id="85"/>
      <w:bookmarkStart w:id="86" w:name="_Toc20823305"/>
      <w:bookmarkEnd w:id="86"/>
      <w:bookmarkStart w:id="87" w:name="_Toc16938549"/>
      <w:r>
        <w:rPr>
          <w:rFonts w:hint="eastAsia" w:ascii="仿宋" w:hAnsi="仿宋" w:eastAsia="仿宋" w:cs="仿宋"/>
          <w:color w:val="auto"/>
          <w:sz w:val="24"/>
          <w:szCs w:val="24"/>
          <w:highlight w:val="none"/>
        </w:rPr>
        <w:t>5、对响应文件的初审</w:t>
      </w:r>
      <w:bookmarkEnd w:id="87"/>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5.1响应文件初审分为资格性检查和符合性检查。</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资格性检查：依据法律法规和磋商文件的规定，对响应文件中的资格证明文件进行审查，以确定供应商是否具备参加磋商的资格。</w:t>
      </w:r>
    </w:p>
    <w:p>
      <w:pPr>
        <w:spacing w:line="44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符合性检查：依据磋商文件的规定，从响应文件的有效性、完整性和对磋商文件的响应程度进行审查，以确定是否对磋商文件的实质性要求作出响应。</w:t>
      </w:r>
    </w:p>
    <w:p>
      <w:pPr>
        <w:adjustRightInd w:val="0"/>
        <w:snapToGrid w:val="0"/>
        <w:spacing w:line="500" w:lineRule="exact"/>
        <w:ind w:firstLine="480" w:firstLineChars="200"/>
        <w:rPr>
          <w:rFonts w:ascii="仿宋" w:hAnsi="仿宋" w:eastAsia="仿宋" w:cs="仿宋"/>
          <w:b/>
          <w:color w:val="auto"/>
          <w:sz w:val="24"/>
          <w:szCs w:val="24"/>
          <w:highlight w:val="none"/>
        </w:rPr>
      </w:pPr>
      <w:r>
        <w:rPr>
          <w:rFonts w:ascii="仿宋" w:hAnsi="仿宋" w:eastAsia="仿宋" w:cs="仿宋"/>
          <w:b/>
          <w:color w:val="auto"/>
          <w:sz w:val="24"/>
          <w:szCs w:val="24"/>
          <w:highlight w:val="none"/>
        </w:rPr>
        <w:t>未通过资格审查或符合性审查的投标人，</w:t>
      </w:r>
      <w:r>
        <w:rPr>
          <w:rFonts w:hint="eastAsia" w:ascii="仿宋" w:hAnsi="仿宋" w:eastAsia="仿宋" w:cs="仿宋"/>
          <w:b/>
          <w:color w:val="auto"/>
          <w:sz w:val="24"/>
          <w:szCs w:val="24"/>
          <w:highlight w:val="none"/>
        </w:rPr>
        <w:t>代理机构</w:t>
      </w:r>
      <w:r>
        <w:rPr>
          <w:rFonts w:ascii="仿宋" w:hAnsi="仿宋" w:eastAsia="仿宋" w:cs="仿宋"/>
          <w:b/>
          <w:color w:val="auto"/>
          <w:sz w:val="24"/>
          <w:szCs w:val="24"/>
          <w:highlight w:val="none"/>
        </w:rPr>
        <w:t>将在</w:t>
      </w:r>
      <w:r>
        <w:rPr>
          <w:rFonts w:hint="eastAsia" w:ascii="仿宋" w:hAnsi="仿宋" w:eastAsia="仿宋" w:cs="仿宋"/>
          <w:b/>
          <w:color w:val="auto"/>
          <w:sz w:val="24"/>
          <w:szCs w:val="24"/>
          <w:highlight w:val="none"/>
        </w:rPr>
        <w:t>开评标</w:t>
      </w:r>
      <w:r>
        <w:rPr>
          <w:rFonts w:ascii="仿宋" w:hAnsi="仿宋" w:eastAsia="仿宋" w:cs="仿宋"/>
          <w:b/>
          <w:color w:val="auto"/>
          <w:sz w:val="24"/>
          <w:szCs w:val="24"/>
          <w:highlight w:val="none"/>
        </w:rPr>
        <w:t>现场告知未通过资格审查或符合性审查的原因，评审结束后，</w:t>
      </w:r>
      <w:r>
        <w:rPr>
          <w:rFonts w:hint="eastAsia" w:ascii="仿宋" w:hAnsi="仿宋" w:eastAsia="仿宋" w:cs="仿宋"/>
          <w:b/>
          <w:color w:val="auto"/>
          <w:sz w:val="24"/>
          <w:szCs w:val="24"/>
          <w:highlight w:val="none"/>
        </w:rPr>
        <w:t>招标代理</w:t>
      </w:r>
      <w:r>
        <w:rPr>
          <w:rFonts w:ascii="仿宋" w:hAnsi="仿宋" w:eastAsia="仿宋" w:cs="仿宋"/>
          <w:b/>
          <w:color w:val="auto"/>
          <w:sz w:val="24"/>
          <w:szCs w:val="24"/>
          <w:highlight w:val="none"/>
        </w:rPr>
        <w:t>将不再告知未通过资格审查或符合性审查的原因。</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5.2在正式磋商之前，磋商小组将首先审查每份响应文件是否实质性响应了磋商文件的要求。实质性响应的响应文件应该是与磋商文件要求的条款、条件和规格相符，没有重大偏离或保留。</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所谓重大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是否属于重大偏离由磋商小组按照少数服从多数的原则作出结论。磋商小组决定响应文件的响应性只根据响应文件本身的内容，而不寻求外部的证据。</w:t>
      </w:r>
    </w:p>
    <w:p>
      <w:pPr>
        <w:spacing w:line="440" w:lineRule="exact"/>
        <w:ind w:firstLine="480" w:firstLineChars="200"/>
        <w:jc w:val="lef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5.3 被认定为未实质性响应磋商文件的响应文件的情形</w:t>
      </w:r>
    </w:p>
    <w:p>
      <w:pPr>
        <w:numPr>
          <w:ilvl w:val="0"/>
          <w:numId w:val="5"/>
        </w:numPr>
        <w:tabs>
          <w:tab w:val="left" w:pos="720"/>
        </w:tabs>
        <w:spacing w:line="460" w:lineRule="exact"/>
        <w:ind w:left="0" w:firstLine="480" w:firstLineChars="200"/>
        <w:outlineLvl w:val="2"/>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同一响应供应商提交两个（含两个）以上不同的投标报价的。</w:t>
      </w:r>
    </w:p>
    <w:p>
      <w:pPr>
        <w:numPr>
          <w:ilvl w:val="0"/>
          <w:numId w:val="5"/>
        </w:numPr>
        <w:tabs>
          <w:tab w:val="left" w:pos="720"/>
        </w:tabs>
        <w:spacing w:line="460" w:lineRule="exact"/>
        <w:ind w:left="0" w:firstLine="480" w:firstLineChars="200"/>
        <w:outlineLvl w:val="2"/>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供应商的报价超过了采购预算或最高限价的；</w:t>
      </w:r>
    </w:p>
    <w:p>
      <w:pPr>
        <w:numPr>
          <w:ilvl w:val="0"/>
          <w:numId w:val="5"/>
        </w:numPr>
        <w:tabs>
          <w:tab w:val="left" w:pos="720"/>
        </w:tabs>
        <w:spacing w:line="460" w:lineRule="exact"/>
        <w:ind w:left="0" w:firstLine="480" w:firstLineChars="200"/>
        <w:outlineLvl w:val="2"/>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供应商不具备磋商文件中规定资格要求的；</w:t>
      </w:r>
    </w:p>
    <w:p>
      <w:pPr>
        <w:numPr>
          <w:ilvl w:val="0"/>
          <w:numId w:val="5"/>
        </w:numPr>
        <w:tabs>
          <w:tab w:val="left" w:pos="720"/>
        </w:tabs>
        <w:spacing w:line="460" w:lineRule="exact"/>
        <w:ind w:left="0" w:firstLine="480" w:firstLineChars="200"/>
        <w:outlineLvl w:val="2"/>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未通过符合性检查的。</w:t>
      </w:r>
    </w:p>
    <w:p>
      <w:pPr>
        <w:numPr>
          <w:ilvl w:val="0"/>
          <w:numId w:val="5"/>
        </w:numPr>
        <w:tabs>
          <w:tab w:val="left" w:pos="720"/>
        </w:tabs>
        <w:spacing w:line="460" w:lineRule="exact"/>
        <w:ind w:left="0" w:firstLine="480" w:firstLineChars="200"/>
        <w:outlineLvl w:val="2"/>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不符合法律、法规和磋商文件中规定的其他实质性要求和条件的；</w:t>
      </w:r>
    </w:p>
    <w:p>
      <w:pPr>
        <w:numPr>
          <w:ilvl w:val="0"/>
          <w:numId w:val="5"/>
        </w:numPr>
        <w:tabs>
          <w:tab w:val="left" w:pos="720"/>
        </w:tabs>
        <w:spacing w:line="460" w:lineRule="exact"/>
        <w:ind w:left="0" w:firstLine="480" w:firstLineChars="200"/>
        <w:outlineLvl w:val="2"/>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不符合磋商文件中规定的其他实质性要求和条件的。</w:t>
      </w:r>
    </w:p>
    <w:p>
      <w:pPr>
        <w:numPr>
          <w:ilvl w:val="0"/>
          <w:numId w:val="5"/>
        </w:numPr>
        <w:tabs>
          <w:tab w:val="left" w:pos="720"/>
        </w:tabs>
        <w:spacing w:line="460" w:lineRule="exact"/>
        <w:ind w:left="0" w:firstLine="480" w:firstLineChars="200"/>
        <w:outlineLvl w:val="2"/>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响应供应商被 “信用中国”网站列入失信被执行人或重大税收违法案件当事人名单或政府采购严重失信行为记录名单。或查询“信用中国”网站后发现响应供应商存在其他不符合《中华人民共和国政府采购法》第二十二条规定条件的信用记录。</w:t>
      </w:r>
    </w:p>
    <w:p>
      <w:pPr>
        <w:numPr>
          <w:ilvl w:val="0"/>
          <w:numId w:val="5"/>
        </w:numPr>
        <w:tabs>
          <w:tab w:val="left" w:pos="720"/>
        </w:tabs>
        <w:spacing w:line="460" w:lineRule="exact"/>
        <w:ind w:left="0" w:firstLine="480" w:firstLineChars="200"/>
        <w:outlineLvl w:val="2"/>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 响应文件含有采购人不能接受的附加条件的。</w:t>
      </w:r>
    </w:p>
    <w:p>
      <w:pPr>
        <w:numPr>
          <w:ilvl w:val="0"/>
          <w:numId w:val="5"/>
        </w:numPr>
        <w:tabs>
          <w:tab w:val="left" w:pos="720"/>
        </w:tabs>
        <w:spacing w:line="460" w:lineRule="exact"/>
        <w:ind w:left="0" w:firstLine="480" w:firstLineChars="200"/>
        <w:outlineLvl w:val="2"/>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评标委员会认为响应供应商的报价明显低于其他通过符合性审查响应供应商的报价，有可能影响产品质量或者不能诚信履约的，将要求其在合理的时间内提供说明，必要时提交相关证明材料；响应供应商不能证明其报价合理性的，评标委员会应当将其作为无效投标处理。</w:t>
      </w:r>
    </w:p>
    <w:p>
      <w:pPr>
        <w:numPr>
          <w:ilvl w:val="0"/>
          <w:numId w:val="5"/>
        </w:numPr>
        <w:tabs>
          <w:tab w:val="left" w:pos="720"/>
        </w:tabs>
        <w:spacing w:line="460" w:lineRule="exact"/>
        <w:ind w:left="0" w:firstLine="480" w:firstLineChars="200"/>
        <w:outlineLvl w:val="2"/>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本项目采购产品被财政部、国家发改委、生态环境部等列入“节能产品品目清单”、“环境标志产品品目清单”强制采购范围，而响应供应商所投标产品不在强制采购范围内的。（投标产品如属于政府强制采购节能产品品目清单范围内，响应文件中必须提供国家确定的认证机构出具的、处于有效期之内的该节能产品认证证书图片）（该条款本项目不适用）。</w:t>
      </w:r>
    </w:p>
    <w:p>
      <w:pPr>
        <w:numPr>
          <w:ilvl w:val="0"/>
          <w:numId w:val="5"/>
        </w:numPr>
        <w:tabs>
          <w:tab w:val="left" w:pos="720"/>
        </w:tabs>
        <w:spacing w:line="460" w:lineRule="exact"/>
        <w:ind w:left="0" w:firstLine="480" w:firstLineChars="200"/>
        <w:outlineLvl w:val="2"/>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响应文件未按照磋商文件要求加盖密封、签署、盖章的。</w:t>
      </w:r>
    </w:p>
    <w:p>
      <w:pPr>
        <w:numPr>
          <w:ilvl w:val="0"/>
          <w:numId w:val="5"/>
        </w:numPr>
        <w:tabs>
          <w:tab w:val="left" w:pos="720"/>
        </w:tabs>
        <w:spacing w:line="460" w:lineRule="exact"/>
        <w:ind w:left="0" w:firstLine="480" w:firstLineChars="200"/>
        <w:outlineLvl w:val="2"/>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不同的响应供应商响应文件制作机器码、文件创建标识码一致的。</w:t>
      </w:r>
    </w:p>
    <w:p>
      <w:pPr>
        <w:numPr>
          <w:ilvl w:val="0"/>
          <w:numId w:val="5"/>
        </w:numPr>
        <w:tabs>
          <w:tab w:val="left" w:pos="720"/>
        </w:tabs>
        <w:spacing w:line="460" w:lineRule="exact"/>
        <w:ind w:left="0" w:firstLine="480" w:firstLineChars="200"/>
        <w:outlineLvl w:val="2"/>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响应供应商的商务技术部分得分相差悬殊，评标委员会认为得分畸低者没有实质性响应的。</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5.4 未实质性响应磋商文件的响应文件按无效响应处理，磋商小组将予以拒绝，供应商不得通过修改或撤销不合要求的偏离或保留而使其响应文件成为实质性响应的文件。</w:t>
      </w:r>
    </w:p>
    <w:p>
      <w:pPr>
        <w:pStyle w:val="3"/>
        <w:spacing w:line="440" w:lineRule="exact"/>
        <w:ind w:firstLine="480" w:firstLineChars="200"/>
        <w:rPr>
          <w:rFonts w:ascii="仿宋" w:hAnsi="仿宋" w:eastAsia="仿宋" w:cs="仿宋"/>
          <w:b/>
          <w:color w:val="auto"/>
          <w:sz w:val="24"/>
          <w:szCs w:val="24"/>
          <w:highlight w:val="none"/>
        </w:rPr>
      </w:pPr>
      <w:r>
        <w:rPr>
          <w:rFonts w:hint="eastAsia" w:ascii="仿宋" w:hAnsi="仿宋" w:eastAsia="仿宋" w:cs="仿宋"/>
          <w:bCs/>
          <w:color w:val="auto"/>
          <w:sz w:val="24"/>
          <w:szCs w:val="24"/>
          <w:highlight w:val="none"/>
        </w:rPr>
        <w:t>5.5</w:t>
      </w:r>
      <w:r>
        <w:rPr>
          <w:rFonts w:hint="eastAsia" w:ascii="仿宋" w:hAnsi="仿宋" w:eastAsia="仿宋" w:cs="仿宋"/>
          <w:b/>
          <w:color w:val="auto"/>
          <w:sz w:val="24"/>
          <w:szCs w:val="24"/>
          <w:highlight w:val="none"/>
        </w:rPr>
        <w:t>响应供应商出现以下情形的，将被认定为投标人串通投标，其投标无效</w:t>
      </w:r>
    </w:p>
    <w:p>
      <w:pPr>
        <w:widowControl/>
        <w:spacing w:line="440" w:lineRule="exact"/>
        <w:ind w:firstLine="480" w:firstLineChars="200"/>
        <w:jc w:val="left"/>
        <w:rPr>
          <w:rFonts w:ascii="仿宋" w:hAnsi="仿宋" w:eastAsia="仿宋" w:cs="仿宋"/>
          <w:b/>
          <w:color w:val="auto"/>
          <w:kern w:val="0"/>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b/>
          <w:color w:val="auto"/>
          <w:kern w:val="0"/>
          <w:sz w:val="24"/>
          <w:szCs w:val="24"/>
          <w:highlight w:val="none"/>
        </w:rPr>
        <w:t>1）不同投标人的投标文件由同一单位或者个人编制；</w:t>
      </w:r>
    </w:p>
    <w:p>
      <w:pPr>
        <w:widowControl/>
        <w:spacing w:line="440" w:lineRule="exact"/>
        <w:jc w:val="left"/>
        <w:rPr>
          <w:rFonts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　　（2）不同投标人委托同一单位或者个人办理投标事宜；</w:t>
      </w:r>
    </w:p>
    <w:p>
      <w:pPr>
        <w:widowControl/>
        <w:spacing w:line="440" w:lineRule="exact"/>
        <w:jc w:val="left"/>
        <w:rPr>
          <w:rFonts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　　（3）不同投标人的投标文件载明的项目管理成员或者联系人员为同一人；</w:t>
      </w:r>
    </w:p>
    <w:p>
      <w:pPr>
        <w:widowControl/>
        <w:spacing w:line="440" w:lineRule="exact"/>
        <w:jc w:val="left"/>
        <w:rPr>
          <w:rFonts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　　（4）不同投标人的投标文件异常一致或者投标报价呈规律性差异；</w:t>
      </w:r>
    </w:p>
    <w:p>
      <w:pPr>
        <w:widowControl/>
        <w:spacing w:line="440" w:lineRule="exact"/>
        <w:jc w:val="left"/>
        <w:rPr>
          <w:rFonts w:ascii="仿宋" w:hAnsi="仿宋" w:eastAsia="仿宋" w:cs="仿宋"/>
          <w:color w:val="auto"/>
          <w:highlight w:val="none"/>
        </w:rPr>
      </w:pPr>
      <w:r>
        <w:rPr>
          <w:rFonts w:hint="eastAsia" w:ascii="仿宋" w:hAnsi="仿宋" w:eastAsia="仿宋" w:cs="仿宋"/>
          <w:b/>
          <w:color w:val="auto"/>
          <w:kern w:val="0"/>
          <w:sz w:val="24"/>
          <w:szCs w:val="24"/>
          <w:highlight w:val="none"/>
        </w:rPr>
        <w:t>　　（5）不同投标人的投标文件相互混装。</w:t>
      </w:r>
    </w:p>
    <w:p>
      <w:pPr>
        <w:spacing w:line="440" w:lineRule="exact"/>
        <w:ind w:firstLine="480" w:firstLineChars="200"/>
        <w:jc w:val="left"/>
        <w:rPr>
          <w:rFonts w:ascii="仿宋" w:hAnsi="仿宋" w:eastAsia="仿宋" w:cs="仿宋"/>
          <w:color w:val="auto"/>
          <w:sz w:val="24"/>
          <w:szCs w:val="24"/>
          <w:highlight w:val="none"/>
        </w:rPr>
      </w:pPr>
      <w:bookmarkStart w:id="88" w:name="_Toc16938550"/>
      <w:bookmarkEnd w:id="88"/>
      <w:bookmarkStart w:id="89" w:name="_Toc513029234"/>
      <w:bookmarkEnd w:id="89"/>
      <w:bookmarkStart w:id="90" w:name="_Toc20823306"/>
      <w:r>
        <w:rPr>
          <w:rFonts w:hint="eastAsia" w:ascii="仿宋" w:hAnsi="仿宋" w:eastAsia="仿宋" w:cs="仿宋"/>
          <w:color w:val="auto"/>
          <w:sz w:val="24"/>
          <w:szCs w:val="24"/>
          <w:highlight w:val="none"/>
        </w:rPr>
        <w:t>6、</w:t>
      </w:r>
      <w:bookmarkEnd w:id="90"/>
      <w:r>
        <w:rPr>
          <w:rFonts w:hint="eastAsia" w:ascii="仿宋" w:hAnsi="仿宋" w:eastAsia="仿宋" w:cs="仿宋"/>
          <w:color w:val="auto"/>
          <w:sz w:val="24"/>
          <w:szCs w:val="24"/>
          <w:highlight w:val="none"/>
        </w:rPr>
        <w:t>磋商程序及评审方法和标准</w:t>
      </w:r>
    </w:p>
    <w:p>
      <w:pPr>
        <w:spacing w:line="440" w:lineRule="exact"/>
        <w:ind w:firstLine="480" w:firstLineChars="200"/>
        <w:jc w:val="left"/>
        <w:rPr>
          <w:rFonts w:ascii="仿宋" w:hAnsi="仿宋" w:eastAsia="仿宋" w:cs="仿宋"/>
          <w:color w:val="auto"/>
          <w:sz w:val="24"/>
          <w:szCs w:val="24"/>
          <w:highlight w:val="none"/>
        </w:rPr>
      </w:pPr>
      <w:bookmarkStart w:id="91" w:name="_Toc16938551"/>
      <w:bookmarkEnd w:id="91"/>
      <w:bookmarkStart w:id="92" w:name="_Toc513029235"/>
      <w:bookmarkEnd w:id="92"/>
      <w:bookmarkStart w:id="93" w:name="_Toc20823307"/>
      <w:r>
        <w:rPr>
          <w:rFonts w:hint="eastAsia" w:ascii="仿宋" w:hAnsi="仿宋" w:eastAsia="仿宋" w:cs="仿宋"/>
          <w:color w:val="auto"/>
          <w:sz w:val="24"/>
          <w:szCs w:val="24"/>
          <w:highlight w:val="none"/>
        </w:rPr>
        <w:t>6.1磋商程序</w:t>
      </w:r>
      <w:bookmarkEnd w:id="93"/>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6.1.1 对于通过资格性和符合性审查的供应商，磋商小组所有成员将集中与单一供应商分别进行磋商。</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在磋商过程中，磋商小组可能根据磋商文件和磋商情况实质性变动的内容有：采购需求中的技术、服务要求以及合同草案条款。对磋商文件作出的实质性变动是磋商文件的有效组成部分，磋商小组将以书面形式同时通知所有参加磋商的供应商。供应商应当按照磋商文件的变动情况和磋商小组的要求重新提交响应文件，并由其法定代表人或授权代表签字或者加盖公章。</w:t>
      </w:r>
    </w:p>
    <w:p>
      <w:pPr>
        <w:tabs>
          <w:tab w:val="left" w:pos="900"/>
        </w:tabs>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6.1.2磋商文件能够详细列明采购标的的技术、服务要求的，磋商结束后，磋商小组将要求所有实质性响应的供应商在规定时间内提交最后报价。</w:t>
      </w:r>
    </w:p>
    <w:p>
      <w:pPr>
        <w:tabs>
          <w:tab w:val="left" w:pos="900"/>
        </w:tabs>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磋商文件不能详细列明采购标的的技术、服务要求，需经磋商由供应商提供最终解决方案的，磋商结束后，磋商小组将按照少数服从多数的原则投票推荐3家以上供应商的解决方案，并要求其在规定时间内提交最后报价。</w:t>
      </w:r>
    </w:p>
    <w:p>
      <w:pPr>
        <w:tabs>
          <w:tab w:val="left" w:pos="900"/>
        </w:tabs>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最后报价是供应商响应文件的有效组成部分。符合《政府采购竞争性磋商采购方式管理暂行办法》第三条第四项及《财政部关于竞争性磋商采购方式管理暂行办法有关问题的补充通知》（财库[2015]124号）规定情形的，提交最后报价的供应商可以为2家。</w:t>
      </w:r>
    </w:p>
    <w:p>
      <w:pPr>
        <w:tabs>
          <w:tab w:val="left" w:pos="900"/>
        </w:tabs>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6.1.3 磋商供应商未在磋商小组规定的时间内完成最后报价的视为放弃磋商，其供应商响应文件按无效响应处理。最后报价须由磋商供应商定代表人或授权代表签字或者加盖公章。已提交响应文件的供应商，在提交最后报价之前，可以根据磋商情况退出磋商。</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6.2 评审方法和标准</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6.2.1评审方法。经磋商确定最终采购需求和提交最后报价的供应商后，由磋商小组采用综合评分法对提交最后报价的供应商的响应文件和最后报价进行综合评分。</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6.2.2评审标准</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见本磋商文件第六章规定。</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6.3采购活动终止的情况</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出现下列情形之一的，本次竞争性磋商采购活动将被终止：</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（1）因情况变化，不再符合规定的竞争性磋商采购方式适用情形的；</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（2）出现影响采购公正的违法、违规行为的；</w:t>
      </w:r>
    </w:p>
    <w:p>
      <w:pPr>
        <w:pStyle w:val="68"/>
        <w:spacing w:before="0" w:after="0" w:line="440" w:lineRule="exact"/>
        <w:ind w:firstLine="0" w:firstLineChars="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五、成交</w:t>
      </w:r>
    </w:p>
    <w:p>
      <w:pPr>
        <w:spacing w:line="440" w:lineRule="exact"/>
        <w:ind w:firstLine="480" w:firstLineChars="200"/>
        <w:jc w:val="left"/>
        <w:rPr>
          <w:rFonts w:ascii="仿宋" w:hAnsi="仿宋" w:eastAsia="仿宋" w:cs="仿宋"/>
          <w:color w:val="auto"/>
          <w:sz w:val="24"/>
          <w:szCs w:val="24"/>
          <w:highlight w:val="none"/>
        </w:rPr>
      </w:pPr>
      <w:bookmarkStart w:id="94" w:name="_Toc513029238"/>
      <w:bookmarkEnd w:id="94"/>
      <w:bookmarkStart w:id="95" w:name="_Toc16938554"/>
      <w:bookmarkEnd w:id="95"/>
      <w:bookmarkStart w:id="96" w:name="_Toc20823310"/>
      <w:r>
        <w:rPr>
          <w:rFonts w:hint="eastAsia" w:ascii="仿宋" w:hAnsi="仿宋" w:eastAsia="仿宋" w:cs="仿宋"/>
          <w:color w:val="auto"/>
          <w:sz w:val="24"/>
          <w:szCs w:val="24"/>
          <w:highlight w:val="none"/>
        </w:rPr>
        <w:t>1、</w:t>
      </w:r>
      <w:bookmarkEnd w:id="96"/>
      <w:r>
        <w:rPr>
          <w:rFonts w:hint="eastAsia" w:ascii="仿宋" w:hAnsi="仿宋" w:eastAsia="仿宋" w:cs="仿宋"/>
          <w:color w:val="auto"/>
          <w:sz w:val="24"/>
          <w:szCs w:val="24"/>
          <w:highlight w:val="none"/>
        </w:rPr>
        <w:t>确定成交单位</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1.1采购人根据磋商小组推荐的成交候选人确定成交供应商。采购人确定成交供应商后，代理机构将在南通苏锡通科技产业园区发布中标公告，公告期限为1个工作日。</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1.2若有充分证据证明，成交供应商出现下列情况之一的，一经查实，将被取消成交资格：</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（1）提供虚假材料谋取成交的；</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（2）与评审专家、采购人、其他供应商或者代理机构工作人员恶意串通的；</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（3）向评审专家、采购人或代理机构工作人员行贿或者提供其他不正当利益的；</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（4）恶意竞争，最终报价明显低于其他投标人且又无法提供证明的；</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（5）不满足本磋商文件规定的实质性要求，但在评审过程中又未被磋商小组发现的；</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（6）成交后无正当理由拒不与采购人签订政府采购合同或者未按照磋商文件确定的事项签订政府采购合同；</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（7）将政府采购合同转包；</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（8）法律、法规、规章规定的属于成交无效的其他情形。</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2、质疑处理</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2.1磋商供应商认为磋商文件、采购过程和采购结果使自己的权益受到损害的，可以在知道或应知其权益受到损害之日起七个工作日内，以书面形式向代理机构或采购人提出质疑。上述应知其权益受到损害之日，是指：</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（1）对可以质疑的磋商文件提出质疑的，为收到磋商文件之日或者磋商文件公告期限届满之日；</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（2）对采购过程提出质疑的，为各采购程序环节结束之日；</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（3）对成交结果提出质疑的，为成交结果公告期限届满之日。</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2.2质疑必须由磋商供应商法定代表人或授权代表（响应文件中所确定的）以原件（纸质书面方式）送达的方式提交，未按上述要求提交的质疑函代理机构有权不予受理。</w:t>
      </w:r>
    </w:p>
    <w:p>
      <w:pPr>
        <w:adjustRightInd w:val="0"/>
        <w:snapToGrid w:val="0"/>
        <w:spacing w:line="500" w:lineRule="exact"/>
        <w:ind w:firstLine="480" w:firstLineChars="200"/>
        <w:rPr>
          <w:rFonts w:ascii="仿宋" w:hAnsi="仿宋" w:eastAsia="仿宋" w:cs="仿宋"/>
          <w:b/>
          <w:color w:val="auto"/>
          <w:sz w:val="28"/>
          <w:szCs w:val="28"/>
          <w:highlight w:val="none"/>
        </w:rPr>
      </w:pPr>
      <w:r>
        <w:rPr>
          <w:rFonts w:hint="eastAsia" w:ascii="仿宋" w:hAnsi="仿宋" w:eastAsia="仿宋" w:cs="仿宋"/>
          <w:color w:val="auto"/>
          <w:sz w:val="24"/>
          <w:szCs w:val="24"/>
          <w:highlight w:val="none"/>
        </w:rPr>
        <w:t>2.3</w:t>
      </w:r>
      <w:r>
        <w:rPr>
          <w:rFonts w:hint="eastAsia" w:ascii="仿宋" w:hAnsi="仿宋" w:eastAsia="仿宋" w:cs="仿宋"/>
          <w:b/>
          <w:color w:val="auto"/>
          <w:sz w:val="28"/>
          <w:szCs w:val="28"/>
          <w:highlight w:val="none"/>
        </w:rPr>
        <w:t>以下情形的质疑不予受理</w:t>
      </w:r>
    </w:p>
    <w:p>
      <w:pPr>
        <w:adjustRightInd w:val="0"/>
        <w:snapToGrid w:val="0"/>
        <w:spacing w:line="5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 内容不符合《政府采购质疑和投诉办法》第十二条规定的质疑。</w:t>
      </w:r>
    </w:p>
    <w:p>
      <w:pPr>
        <w:adjustRightInd w:val="0"/>
        <w:snapToGrid w:val="0"/>
        <w:spacing w:line="5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 超出政府采购法定期限的质疑。</w:t>
      </w:r>
    </w:p>
    <w:p>
      <w:pPr>
        <w:adjustRightInd w:val="0"/>
        <w:snapToGrid w:val="0"/>
        <w:spacing w:line="5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（3）未参加谈判活动的供应商或在谈判活动中自身权益未受到损害的供应商所提出的质疑。</w:t>
      </w:r>
    </w:p>
    <w:p>
      <w:pPr>
        <w:adjustRightInd w:val="0"/>
        <w:snapToGrid w:val="0"/>
        <w:spacing w:line="5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（4）供应商组成联合体参加谈判，联合体中任何一方或多方未按要求签字、盖章、加盖公章的质疑。</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2.4质疑函应当包括下列内容：</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（1）质疑供应商的名称、地址、邮编、联系人、联系电话；</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（2）具体的质疑事项及明确的请求；</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（3）认为自己合法权益受到损害或可能受到损害的相关证据材料；</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（4）提起质疑的日期；</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质疑函应当署名：质疑人为自然人的，应当由本人签字并附有效身份证明；质疑人为法人或其他组织的，应当由法定代表人签字并加盖单位公章。质疑人委托代理质疑的，应当向代理机构提交授权委托书，并载明委托代理的具体权限和事项。</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2.5代理机构收到质疑函后，将对质疑的形式和内容进行审查，如质疑函内容、格式不符合规定，代理机构将告知质疑人进行补正。</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2.6质疑人应当在法定质疑期限内进行补正并重新提交质疑函，拒不补正或者在法定期限内未重新提交质疑函的，为无效质疑，代理机构有权不予受理。</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2.7对于内容、格式符合规定的质疑函，代理机构将在收到参加磋商供应商的书面质疑后七个工作日内作出答复，并以书面形式通知质疑供应商和其他相关供应商，答复的内容不涉及商业秘密。</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2.8供应商提出书面质疑必须有理、有据，不得恶意质疑或提交虚假质疑。否则，一经查实，代理机构有权依据政府采购的有关规定，报请政府采购监管部门对该供应商进行相应的行政处罚。</w:t>
      </w:r>
    </w:p>
    <w:p>
      <w:pPr>
        <w:spacing w:line="440" w:lineRule="exact"/>
        <w:ind w:firstLine="460" w:firstLineChars="200"/>
        <w:rPr>
          <w:rFonts w:ascii="仿宋" w:hAnsi="仿宋" w:eastAsia="仿宋" w:cs="仿宋"/>
          <w:b/>
          <w:color w:val="auto"/>
          <w:highlight w:val="none"/>
        </w:rPr>
      </w:pPr>
      <w:r>
        <w:rPr>
          <w:rFonts w:hint="eastAsia" w:ascii="仿宋" w:hAnsi="仿宋" w:eastAsia="仿宋" w:cs="仿宋"/>
          <w:b/>
          <w:bCs/>
          <w:color w:val="auto"/>
          <w:sz w:val="23"/>
          <w:szCs w:val="23"/>
          <w:highlight w:val="none"/>
        </w:rPr>
        <w:t>注明：本磋商文件要求所有磋商供应商应在法定质疑期内一次性提出针对同一采购程序环节的质疑。</w:t>
      </w:r>
    </w:p>
    <w:p>
      <w:pPr>
        <w:pStyle w:val="68"/>
        <w:spacing w:before="0" w:after="0" w:line="440" w:lineRule="exact"/>
        <w:ind w:firstLine="0" w:firstLineChars="0"/>
        <w:jc w:val="both"/>
        <w:rPr>
          <w:rFonts w:ascii="仿宋" w:hAnsi="仿宋" w:eastAsia="仿宋" w:cs="仿宋"/>
          <w:color w:val="auto"/>
          <w:sz w:val="24"/>
          <w:szCs w:val="24"/>
          <w:highlight w:val="none"/>
        </w:rPr>
      </w:pPr>
      <w:bookmarkStart w:id="97" w:name="_Toc16938553"/>
      <w:bookmarkEnd w:id="97"/>
      <w:bookmarkStart w:id="98" w:name="_Toc20823309"/>
      <w:bookmarkEnd w:id="98"/>
      <w:bookmarkStart w:id="99" w:name="_Toc513029237"/>
      <w:r>
        <w:rPr>
          <w:rFonts w:hint="eastAsia" w:ascii="仿宋" w:hAnsi="仿宋" w:eastAsia="仿宋" w:cs="仿宋"/>
          <w:color w:val="auto"/>
          <w:sz w:val="24"/>
          <w:szCs w:val="24"/>
          <w:highlight w:val="none"/>
        </w:rPr>
        <w:t>六、合同签订相关事项</w:t>
      </w:r>
      <w:bookmarkEnd w:id="99"/>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1、签订合同</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l成交供应商确定后，代理机构将向成交供应商发出成交通知书。成交供应商应按成交通知书规定的时间、地点,按照磋商文件确定的事项与采购人签订政府采购合同，且不得迟于成交通知书发出之日起三十日内（新冠疫情期为十五日内），由此给采购人造成损失的，成交供应商还应承担赔偿责任。</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 磋商文件、成交供应商的响应文件及磋商采购过程中有关澄清、承诺文件均应作为合同附件。</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 签订合同后，成交供应商不得将成交产品或服务进行转包。未经采购人同意，成交供应商也不得采用分包的形式履行合同，否则采购人有权终止合同，成交供应商的履约保证金将不予退还。转包或分包造成采购人损失的，成交供应商应承担相应赔偿责任。</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2、履约保证金</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2.1履约保证金为中标价的*10%，成交供应商的履约保证金可以以转账、支票、汇票、本票、保函等非现金形式缴纳，于本项目结束并验收合格后无息退还。</w:t>
      </w:r>
    </w:p>
    <w:p>
      <w:pPr>
        <w:pStyle w:val="21"/>
        <w:spacing w:after="0" w:line="360" w:lineRule="auto"/>
        <w:ind w:left="0" w:leftChars="0" w:firstLine="0" w:firstLineChars="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注明：</w:t>
      </w:r>
    </w:p>
    <w:p>
      <w:pPr>
        <w:numPr>
          <w:ilvl w:val="0"/>
          <w:numId w:val="6"/>
        </w:numPr>
        <w:adjustRightInd w:val="0"/>
        <w:snapToGrid w:val="0"/>
        <w:spacing w:line="360" w:lineRule="auto"/>
        <w:ind w:left="0" w:firstLine="480"/>
        <w:rPr>
          <w:rFonts w:ascii="仿宋" w:hAnsi="仿宋" w:eastAsia="仿宋" w:cs="仿宋"/>
          <w:color w:val="auto"/>
          <w:sz w:val="24"/>
          <w:highlight w:val="none"/>
        </w:rPr>
      </w:pPr>
      <w:r>
        <w:rPr>
          <w:rFonts w:hint="eastAsia" w:ascii="仿宋" w:hAnsi="仿宋" w:eastAsia="仿宋" w:cs="仿宋"/>
          <w:color w:val="auto"/>
          <w:sz w:val="24"/>
          <w:highlight w:val="none"/>
        </w:rPr>
        <w:t>成交供应商全部履约合同义务，经采购单位验收合格无质量、进度等问题的，采购人在验收合格后一次性退还履约保证金。</w:t>
      </w:r>
    </w:p>
    <w:p>
      <w:pPr>
        <w:numPr>
          <w:ilvl w:val="0"/>
          <w:numId w:val="6"/>
        </w:numPr>
        <w:adjustRightInd w:val="0"/>
        <w:snapToGrid w:val="0"/>
        <w:spacing w:line="360" w:lineRule="auto"/>
        <w:ind w:left="0" w:firstLine="480"/>
        <w:rPr>
          <w:rFonts w:ascii="仿宋" w:hAnsi="仿宋" w:eastAsia="仿宋" w:cs="仿宋"/>
          <w:color w:val="auto"/>
          <w:sz w:val="24"/>
          <w:highlight w:val="none"/>
        </w:rPr>
      </w:pPr>
      <w:r>
        <w:rPr>
          <w:rFonts w:hint="eastAsia" w:ascii="仿宋" w:hAnsi="仿宋" w:eastAsia="仿宋" w:cs="仿宋"/>
          <w:color w:val="auto"/>
          <w:sz w:val="24"/>
          <w:highlight w:val="none"/>
        </w:rPr>
        <w:t>发生以下情况的，履约保证金不予退还或部分退还：</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a.签订合同后，成交供应商不履行合同义务的，采购单位有权全额扣除履约保证金，全额不予退还，同时采购单位亦有权终止合同，中标供应商还须承担相应的法律赔偿责任。</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b.成交供应商在履约过程中发生违约行为，给采购单位造成损失的，采购单位有权在成交供应商缴纳的履约保证金中予以扣款，以弥补采购单位经济损失，不足的部分成交供应商另外补齐。</w:t>
      </w:r>
    </w:p>
    <w:p>
      <w:pPr>
        <w:numPr>
          <w:ilvl w:val="0"/>
          <w:numId w:val="6"/>
        </w:numPr>
        <w:adjustRightInd w:val="0"/>
        <w:snapToGrid w:val="0"/>
        <w:spacing w:line="500" w:lineRule="exact"/>
        <w:rPr>
          <w:rFonts w:ascii="仿宋" w:hAnsi="仿宋" w:eastAsia="仿宋" w:cs="仿宋"/>
          <w:color w:val="auto"/>
          <w:sz w:val="24"/>
          <w:highlight w:val="none"/>
        </w:rPr>
      </w:pPr>
      <w:r>
        <w:rPr>
          <w:rFonts w:hint="eastAsia" w:ascii="仿宋" w:hAnsi="仿宋" w:eastAsia="仿宋" w:cs="仿宋"/>
          <w:color w:val="auto"/>
          <w:sz w:val="24"/>
          <w:highlight w:val="none"/>
        </w:rPr>
        <w:t>根据《南通市财政局关于进一步加大政府采购支持中小企业力度的通知》（通财购〔2022〕23号）精神，对政府采购信用档案中无不良记录的中小企业免收履约保证金。</w:t>
      </w:r>
    </w:p>
    <w:p>
      <w:pPr>
        <w:pStyle w:val="98"/>
        <w:numPr>
          <w:ilvl w:val="0"/>
          <w:numId w:val="6"/>
        </w:numPr>
        <w:adjustRightInd w:val="0"/>
        <w:snapToGrid w:val="0"/>
        <w:spacing w:line="500" w:lineRule="exact"/>
        <w:ind w:firstLineChars="0"/>
        <w:rPr>
          <w:rFonts w:ascii="仿宋" w:hAnsi="仿宋" w:eastAsia="仿宋" w:cs="仿宋"/>
          <w:color w:val="auto"/>
          <w:sz w:val="24"/>
          <w:highlight w:val="none"/>
        </w:rPr>
      </w:pPr>
      <w:r>
        <w:rPr>
          <w:rFonts w:hint="eastAsia" w:ascii="仿宋" w:hAnsi="仿宋" w:eastAsia="仿宋" w:cs="仿宋"/>
          <w:color w:val="auto"/>
          <w:sz w:val="24"/>
          <w:highlight w:val="none"/>
        </w:rPr>
        <w:t>政府采购履约保证资金、合同信用融资扶持政策</w:t>
      </w:r>
    </w:p>
    <w:p>
      <w:pPr>
        <w:pStyle w:val="98"/>
        <w:adjustRightInd w:val="0"/>
        <w:snapToGrid w:val="0"/>
        <w:spacing w:line="500" w:lineRule="exact"/>
        <w:ind w:firstLine="600" w:firstLineChars="250"/>
        <w:jc w:val="left"/>
        <w:rPr>
          <w:rFonts w:ascii="仿宋" w:hAnsi="仿宋" w:eastAsia="仿宋" w:cs="仿宋"/>
          <w:color w:val="auto"/>
          <w:sz w:val="24"/>
          <w:highlight w:val="none"/>
        </w:rPr>
      </w:pPr>
      <w:r>
        <w:rPr>
          <w:rFonts w:hint="eastAsia" w:ascii="仿宋" w:hAnsi="仿宋" w:eastAsia="仿宋" w:cs="仿宋"/>
          <w:color w:val="auto"/>
          <w:sz w:val="24"/>
          <w:highlight w:val="none"/>
        </w:rPr>
        <w:t>A、中标供应商如需获得履约保证金支持，可在南通市政府采购网直接线上办理线上履约保证保险申请，详情请见南通市政府采购网首页 “易企服”综合服务平台-金融产品全周期-履约保证保险专栏。</w:t>
      </w:r>
    </w:p>
    <w:p>
      <w:pPr>
        <w:pStyle w:val="68"/>
        <w:spacing w:before="0" w:after="0" w:line="440" w:lineRule="exact"/>
        <w:ind w:firstLine="0" w:firstLineChars="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七、采购代理服务费</w:t>
      </w:r>
    </w:p>
    <w:p>
      <w:pPr>
        <w:spacing w:line="44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被确认成交供应商须向采购代理机构支付服务费，本项目成交服务费收取人民币2000元，评委费由成交供应商按实支付，本项目投标报价中包含此费用，请各磋商供应商合理报价。</w:t>
      </w:r>
    </w:p>
    <w:p>
      <w:pPr>
        <w:spacing w:line="360" w:lineRule="auto"/>
        <w:ind w:firstLine="480"/>
        <w:rPr>
          <w:rFonts w:ascii="仿宋" w:hAnsi="仿宋" w:eastAsia="仿宋" w:cs="仿宋"/>
          <w:color w:val="auto"/>
          <w:sz w:val="24"/>
          <w:szCs w:val="24"/>
          <w:highlight w:val="none"/>
        </w:rPr>
      </w:pPr>
    </w:p>
    <w:p>
      <w:pPr>
        <w:spacing w:line="360" w:lineRule="auto"/>
        <w:ind w:firstLine="480"/>
        <w:rPr>
          <w:rFonts w:ascii="仿宋" w:hAnsi="仿宋" w:eastAsia="仿宋" w:cs="仿宋"/>
          <w:color w:val="auto"/>
          <w:sz w:val="24"/>
          <w:szCs w:val="24"/>
          <w:highlight w:val="none"/>
        </w:rPr>
      </w:pPr>
    </w:p>
    <w:p>
      <w:pPr>
        <w:spacing w:afterLines="50" w:line="360" w:lineRule="auto"/>
        <w:ind w:firstLine="480" w:firstLineChars="200"/>
        <w:jc w:val="left"/>
        <w:rPr>
          <w:rFonts w:ascii="仿宋" w:hAnsi="仿宋" w:eastAsia="仿宋" w:cs="仿宋"/>
          <w:color w:val="auto"/>
          <w:sz w:val="24"/>
          <w:szCs w:val="24"/>
          <w:highlight w:val="none"/>
        </w:rPr>
      </w:pPr>
    </w:p>
    <w:p>
      <w:pPr>
        <w:pStyle w:val="4"/>
        <w:spacing w:line="360" w:lineRule="auto"/>
        <w:ind w:firstLine="1999" w:firstLineChars="833"/>
        <w:rPr>
          <w:rFonts w:ascii="仿宋" w:hAnsi="仿宋" w:eastAsia="仿宋" w:cs="仿宋"/>
          <w:b/>
          <w:bCs/>
          <w:color w:val="auto"/>
          <w:kern w:val="44"/>
          <w:sz w:val="44"/>
          <w:szCs w:val="44"/>
          <w:highlight w:val="none"/>
        </w:rPr>
      </w:pPr>
      <w:r>
        <w:rPr>
          <w:rFonts w:hint="eastAsia" w:ascii="仿宋" w:hAnsi="仿宋" w:eastAsia="仿宋" w:cs="仿宋"/>
          <w:b/>
          <w:bCs/>
          <w:color w:val="auto"/>
          <w:sz w:val="24"/>
          <w:szCs w:val="24"/>
          <w:highlight w:val="none"/>
        </w:rPr>
        <w:br w:type="page"/>
      </w:r>
      <w:r>
        <w:rPr>
          <w:rFonts w:hint="eastAsia" w:ascii="仿宋" w:hAnsi="仿宋" w:eastAsia="仿宋" w:cs="仿宋"/>
          <w:b/>
          <w:color w:val="auto"/>
          <w:sz w:val="44"/>
          <w:szCs w:val="44"/>
          <w:highlight w:val="none"/>
        </w:rPr>
        <w:t>第三章</w:t>
      </w:r>
      <w:bookmarkStart w:id="100" w:name="_Toc20823346"/>
      <w:bookmarkStart w:id="101" w:name="_Toc120614244"/>
      <w:bookmarkStart w:id="102" w:name="_Toc479962292"/>
      <w:bookmarkStart w:id="103" w:name="_Toc16938590"/>
      <w:r>
        <w:rPr>
          <w:rFonts w:hint="eastAsia" w:ascii="仿宋" w:hAnsi="仿宋" w:eastAsia="仿宋" w:cs="仿宋"/>
          <w:b/>
          <w:bCs/>
          <w:color w:val="auto"/>
          <w:sz w:val="44"/>
          <w:szCs w:val="44"/>
          <w:highlight w:val="none"/>
          <w:shd w:val="clear" w:color="auto" w:fill="FFFFFF"/>
        </w:rPr>
        <w:t>合同条款及格式</w:t>
      </w:r>
    </w:p>
    <w:bookmarkEnd w:id="100"/>
    <w:bookmarkEnd w:id="101"/>
    <w:bookmarkEnd w:id="102"/>
    <w:bookmarkEnd w:id="103"/>
    <w:p>
      <w:pPr>
        <w:rPr>
          <w:rFonts w:ascii="仿宋" w:hAnsi="仿宋" w:eastAsia="仿宋" w:cs="仿宋"/>
          <w:color w:val="auto"/>
          <w:highlight w:val="none"/>
        </w:rPr>
      </w:pPr>
    </w:p>
    <w:p>
      <w:pPr>
        <w:snapToGrid w:val="0"/>
        <w:spacing w:line="460" w:lineRule="exact"/>
        <w:ind w:left="5275" w:leftChars="267" w:hanging="4715" w:hangingChars="2050"/>
        <w:rPr>
          <w:rFonts w:ascii="仿宋" w:hAnsi="仿宋" w:eastAsia="仿宋" w:cs="仿宋"/>
          <w:color w:val="auto"/>
          <w:sz w:val="23"/>
          <w:szCs w:val="23"/>
          <w:highlight w:val="none"/>
        </w:rPr>
      </w:pPr>
    </w:p>
    <w:p>
      <w:pPr>
        <w:spacing w:line="440" w:lineRule="exact"/>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合同主要条款</w:t>
      </w:r>
    </w:p>
    <w:p>
      <w:pPr>
        <w:spacing w:line="440" w:lineRule="exact"/>
        <w:jc w:val="center"/>
        <w:rPr>
          <w:rFonts w:ascii="仿宋" w:hAnsi="仿宋" w:eastAsia="仿宋" w:cs="仿宋"/>
          <w:b/>
          <w:bCs/>
          <w:color w:val="auto"/>
          <w:sz w:val="32"/>
          <w:szCs w:val="32"/>
          <w:highlight w:val="none"/>
        </w:rPr>
      </w:pPr>
    </w:p>
    <w:p>
      <w:pPr>
        <w:widowControl/>
        <w:shd w:val="clear" w:color="auto" w:fill="FFFFFF"/>
        <w:jc w:val="center"/>
        <w:rPr>
          <w:rFonts w:ascii="仿宋" w:hAnsi="仿宋" w:eastAsia="仿宋" w:cs="仿宋"/>
          <w:b/>
          <w:bCs/>
          <w:color w:val="auto"/>
          <w:sz w:val="30"/>
          <w:szCs w:val="30"/>
          <w:highlight w:val="none"/>
        </w:rPr>
      </w:pPr>
      <w:r>
        <w:rPr>
          <w:rFonts w:hint="eastAsia" w:ascii="仿宋" w:hAnsi="仿宋" w:eastAsia="仿宋" w:cs="仿宋"/>
          <w:b/>
          <w:bCs/>
          <w:color w:val="auto"/>
          <w:sz w:val="36"/>
          <w:szCs w:val="36"/>
          <w:highlight w:val="none"/>
        </w:rPr>
        <w:t>苏锡通园区低效用地再开发“十四五”专项规划和年度实施计划编制工作采购项目</w:t>
      </w:r>
    </w:p>
    <w:p>
      <w:pPr>
        <w:widowControl/>
        <w:shd w:val="clear" w:color="auto" w:fill="FFFFFF"/>
        <w:jc w:val="center"/>
        <w:rPr>
          <w:rFonts w:ascii="仿宋" w:hAnsi="仿宋" w:eastAsia="仿宋" w:cs="仿宋"/>
          <w:b/>
          <w:bCs/>
          <w:color w:val="auto"/>
          <w:sz w:val="28"/>
          <w:szCs w:val="28"/>
          <w:highlight w:val="none"/>
        </w:rPr>
      </w:pPr>
    </w:p>
    <w:p>
      <w:pPr>
        <w:widowControl/>
        <w:shd w:val="clear" w:color="auto" w:fill="FFFFFF"/>
        <w:jc w:val="center"/>
        <w:rPr>
          <w:rFonts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合同书</w:t>
      </w:r>
    </w:p>
    <w:p>
      <w:pPr>
        <w:widowControl/>
        <w:shd w:val="clear" w:color="auto" w:fill="FFFFFF"/>
        <w:jc w:val="center"/>
        <w:rPr>
          <w:rFonts w:ascii="仿宋" w:hAnsi="仿宋" w:eastAsia="仿宋" w:cs="仿宋"/>
          <w:b/>
          <w:bCs/>
          <w:color w:val="auto"/>
          <w:sz w:val="28"/>
          <w:szCs w:val="28"/>
          <w:highlight w:val="none"/>
        </w:rPr>
      </w:pPr>
    </w:p>
    <w:p>
      <w:pPr>
        <w:widowControl/>
        <w:shd w:val="clear" w:color="auto" w:fill="FFFFFF"/>
        <w:jc w:val="center"/>
        <w:rPr>
          <w:rFonts w:ascii="仿宋" w:hAnsi="仿宋" w:eastAsia="仿宋" w:cs="仿宋"/>
          <w:b/>
          <w:bCs/>
          <w:color w:val="auto"/>
          <w:sz w:val="28"/>
          <w:szCs w:val="28"/>
          <w:highlight w:val="none"/>
        </w:rPr>
      </w:pPr>
    </w:p>
    <w:p>
      <w:pPr>
        <w:widowControl/>
        <w:shd w:val="clear" w:color="auto" w:fill="FFFFFF"/>
        <w:jc w:val="center"/>
        <w:rPr>
          <w:rFonts w:ascii="仿宋" w:hAnsi="仿宋" w:eastAsia="仿宋" w:cs="仿宋"/>
          <w:b/>
          <w:bCs/>
          <w:color w:val="auto"/>
          <w:sz w:val="28"/>
          <w:szCs w:val="28"/>
          <w:highlight w:val="none"/>
        </w:rPr>
      </w:pPr>
    </w:p>
    <w:p>
      <w:pPr>
        <w:widowControl/>
        <w:shd w:val="clear" w:color="auto" w:fill="FFFFFF"/>
        <w:jc w:val="center"/>
        <w:rPr>
          <w:rFonts w:ascii="仿宋" w:hAnsi="仿宋" w:eastAsia="仿宋" w:cs="仿宋"/>
          <w:b/>
          <w:bCs/>
          <w:color w:val="auto"/>
          <w:sz w:val="28"/>
          <w:szCs w:val="28"/>
          <w:highlight w:val="none"/>
        </w:rPr>
      </w:pPr>
    </w:p>
    <w:p>
      <w:pPr>
        <w:widowControl/>
        <w:shd w:val="clear" w:color="auto" w:fill="FFFFFF"/>
        <w:jc w:val="center"/>
        <w:rPr>
          <w:rFonts w:ascii="仿宋" w:hAnsi="仿宋" w:eastAsia="仿宋" w:cs="仿宋"/>
          <w:b/>
          <w:bCs/>
          <w:color w:val="auto"/>
          <w:sz w:val="28"/>
          <w:szCs w:val="28"/>
          <w:highlight w:val="none"/>
        </w:rPr>
      </w:pPr>
    </w:p>
    <w:p>
      <w:pPr>
        <w:widowControl/>
        <w:shd w:val="clear" w:color="auto" w:fill="FFFFFF"/>
        <w:jc w:val="center"/>
        <w:rPr>
          <w:rFonts w:ascii="仿宋" w:hAnsi="仿宋" w:eastAsia="仿宋" w:cs="仿宋"/>
          <w:b/>
          <w:bCs/>
          <w:color w:val="auto"/>
          <w:sz w:val="28"/>
          <w:szCs w:val="28"/>
          <w:highlight w:val="none"/>
        </w:rPr>
      </w:pPr>
    </w:p>
    <w:p>
      <w:pPr>
        <w:widowControl/>
        <w:shd w:val="clear" w:color="auto" w:fill="FFFFFF"/>
        <w:jc w:val="center"/>
        <w:rPr>
          <w:rFonts w:ascii="仿宋" w:hAnsi="仿宋" w:eastAsia="仿宋" w:cs="仿宋"/>
          <w:b/>
          <w:bCs/>
          <w:color w:val="auto"/>
          <w:sz w:val="28"/>
          <w:szCs w:val="28"/>
          <w:highlight w:val="none"/>
        </w:rPr>
      </w:pPr>
    </w:p>
    <w:p>
      <w:pPr>
        <w:widowControl/>
        <w:shd w:val="clear" w:color="auto" w:fill="FFFFFF"/>
        <w:jc w:val="center"/>
        <w:rPr>
          <w:rFonts w:ascii="仿宋" w:hAnsi="仿宋" w:eastAsia="仿宋" w:cs="仿宋"/>
          <w:b/>
          <w:bCs/>
          <w:color w:val="auto"/>
          <w:sz w:val="28"/>
          <w:szCs w:val="28"/>
          <w:highlight w:val="none"/>
        </w:rPr>
      </w:pPr>
    </w:p>
    <w:p>
      <w:pPr>
        <w:widowControl/>
        <w:shd w:val="clear" w:color="auto" w:fill="FFFFFF"/>
        <w:jc w:val="center"/>
        <w:rPr>
          <w:rFonts w:ascii="仿宋" w:hAnsi="仿宋" w:eastAsia="仿宋" w:cs="仿宋"/>
          <w:b/>
          <w:bCs/>
          <w:color w:val="auto"/>
          <w:sz w:val="28"/>
          <w:szCs w:val="28"/>
          <w:highlight w:val="none"/>
        </w:rPr>
      </w:pPr>
    </w:p>
    <w:p>
      <w:pPr>
        <w:widowControl/>
        <w:shd w:val="clear" w:color="auto" w:fill="FFFFFF"/>
        <w:rPr>
          <w:rFonts w:ascii="仿宋" w:hAnsi="仿宋" w:eastAsia="仿宋" w:cs="仿宋"/>
          <w:b/>
          <w:bCs/>
          <w:color w:val="auto"/>
          <w:sz w:val="28"/>
          <w:szCs w:val="28"/>
          <w:highlight w:val="none"/>
        </w:rPr>
      </w:pPr>
    </w:p>
    <w:p>
      <w:pPr>
        <w:widowControl/>
        <w:shd w:val="clear" w:color="auto" w:fill="FFFFFF"/>
        <w:ind w:firstLine="1120" w:firstLineChars="400"/>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甲方：</w:t>
      </w:r>
      <w:r>
        <w:rPr>
          <w:rFonts w:hint="eastAsia" w:ascii="仿宋" w:hAnsi="仿宋" w:eastAsia="仿宋" w:cs="仿宋"/>
          <w:b/>
          <w:bCs/>
          <w:color w:val="auto"/>
          <w:sz w:val="28"/>
          <w:szCs w:val="28"/>
          <w:highlight w:val="none"/>
          <w:u w:val="single"/>
        </w:rPr>
        <w:t xml:space="preserve">南通市自然资源和规划局苏锡通园区分局 </w:t>
      </w:r>
    </w:p>
    <w:p>
      <w:pPr>
        <w:pStyle w:val="3"/>
        <w:ind w:firstLine="1120" w:firstLineChars="400"/>
        <w:rPr>
          <w:rFonts w:ascii="仿宋" w:hAnsi="仿宋" w:eastAsia="仿宋" w:cs="仿宋"/>
          <w:color w:val="auto"/>
          <w:highlight w:val="none"/>
          <w:u w:val="single"/>
        </w:rPr>
      </w:pPr>
      <w:r>
        <w:rPr>
          <w:rFonts w:hint="eastAsia" w:ascii="仿宋" w:hAnsi="仿宋" w:eastAsia="仿宋" w:cs="仿宋"/>
          <w:color w:val="auto"/>
          <w:highlight w:val="none"/>
        </w:rPr>
        <w:t>乙方：</w:t>
      </w:r>
      <w:r>
        <w:rPr>
          <w:rFonts w:hint="eastAsia" w:ascii="仿宋" w:hAnsi="仿宋" w:eastAsia="仿宋" w:cs="仿宋"/>
          <w:color w:val="auto"/>
          <w:highlight w:val="none"/>
          <w:u w:val="single"/>
        </w:rPr>
        <w:t xml:space="preserve">（成交单位）                </w:t>
      </w:r>
    </w:p>
    <w:p>
      <w:pPr>
        <w:pStyle w:val="3"/>
        <w:ind w:firstLine="1120" w:firstLineChars="400"/>
        <w:rPr>
          <w:rFonts w:ascii="仿宋" w:hAnsi="仿宋" w:eastAsia="仿宋" w:cs="仿宋"/>
          <w:color w:val="auto"/>
          <w:highlight w:val="none"/>
          <w:u w:val="single"/>
        </w:rPr>
      </w:pPr>
      <w:r>
        <w:rPr>
          <w:rFonts w:hint="eastAsia" w:ascii="仿宋" w:hAnsi="仿宋" w:eastAsia="仿宋" w:cs="仿宋"/>
          <w:color w:val="auto"/>
          <w:highlight w:val="none"/>
        </w:rPr>
        <w:t>签订日期：</w:t>
      </w:r>
    </w:p>
    <w:p>
      <w:pPr>
        <w:spacing w:line="360" w:lineRule="auto"/>
        <w:ind w:firstLine="4320" w:firstLineChars="1800"/>
        <w:rPr>
          <w:rFonts w:ascii="仿宋" w:hAnsi="仿宋" w:eastAsia="仿宋" w:cs="仿宋"/>
          <w:color w:val="auto"/>
          <w:sz w:val="24"/>
          <w:szCs w:val="24"/>
          <w:highlight w:val="none"/>
        </w:rPr>
      </w:pPr>
      <w:bookmarkStart w:id="104" w:name="_Toc25542"/>
      <w:bookmarkEnd w:id="104"/>
      <w:bookmarkStart w:id="105" w:name="_Toc482131735"/>
      <w:bookmarkEnd w:id="105"/>
    </w:p>
    <w:p>
      <w:pPr>
        <w:pStyle w:val="40"/>
        <w:rPr>
          <w:rFonts w:ascii="仿宋" w:hAnsi="仿宋" w:eastAsia="仿宋" w:cs="仿宋"/>
          <w:b/>
          <w:color w:val="auto"/>
          <w:spacing w:val="20"/>
          <w:sz w:val="32"/>
          <w:szCs w:val="32"/>
          <w:highlight w:val="none"/>
        </w:rPr>
      </w:pPr>
    </w:p>
    <w:p>
      <w:pPr>
        <w:adjustRightInd w:val="0"/>
        <w:snapToGrid w:val="0"/>
        <w:spacing w:line="360" w:lineRule="auto"/>
        <w:jc w:val="center"/>
        <w:rPr>
          <w:rFonts w:ascii="仿宋" w:hAnsi="仿宋" w:eastAsia="仿宋" w:cs="仿宋"/>
          <w:b/>
          <w:color w:val="auto"/>
          <w:spacing w:val="20"/>
          <w:sz w:val="32"/>
          <w:szCs w:val="32"/>
          <w:highlight w:val="none"/>
        </w:rPr>
      </w:pPr>
      <w:r>
        <w:rPr>
          <w:rFonts w:hint="eastAsia" w:ascii="仿宋" w:hAnsi="仿宋" w:eastAsia="仿宋" w:cs="仿宋"/>
          <w:b/>
          <w:color w:val="auto"/>
          <w:spacing w:val="20"/>
          <w:sz w:val="32"/>
          <w:szCs w:val="32"/>
          <w:highlight w:val="none"/>
        </w:rPr>
        <w:t>南通市政府采购项目</w:t>
      </w:r>
    </w:p>
    <w:p>
      <w:pPr>
        <w:spacing w:line="360" w:lineRule="auto"/>
        <w:jc w:val="center"/>
        <w:rPr>
          <w:rFonts w:ascii="仿宋" w:hAnsi="仿宋" w:eastAsia="仿宋" w:cs="仿宋"/>
          <w:color w:val="auto"/>
          <w:sz w:val="20"/>
          <w:highlight w:val="none"/>
        </w:rPr>
      </w:pPr>
      <w:r>
        <w:rPr>
          <w:rFonts w:hint="eastAsia" w:ascii="仿宋" w:hAnsi="仿宋" w:eastAsia="仿宋" w:cs="仿宋"/>
          <w:b/>
          <w:bCs/>
          <w:color w:val="auto"/>
          <w:sz w:val="28"/>
          <w:szCs w:val="28"/>
          <w:highlight w:val="none"/>
        </w:rPr>
        <w:t>合 同 书</w:t>
      </w:r>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采购单位（或称甲方）：</w:t>
      </w:r>
    </w:p>
    <w:p>
      <w:pPr>
        <w:spacing w:line="360" w:lineRule="auto"/>
        <w:rPr>
          <w:rFonts w:ascii="仿宋" w:hAnsi="仿宋" w:eastAsia="仿宋" w:cs="仿宋"/>
          <w:bCs/>
          <w:color w:val="auto"/>
          <w:sz w:val="24"/>
          <w:szCs w:val="24"/>
          <w:highlight w:val="none"/>
        </w:rPr>
      </w:pPr>
      <w:r>
        <w:rPr>
          <w:rFonts w:hint="eastAsia" w:ascii="仿宋" w:hAnsi="仿宋" w:eastAsia="仿宋" w:cs="仿宋"/>
          <w:color w:val="auto"/>
          <w:sz w:val="24"/>
          <w:szCs w:val="24"/>
          <w:highlight w:val="none"/>
        </w:rPr>
        <w:t>中标供应商（或称乙方）：</w:t>
      </w:r>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签订时间：</w:t>
      </w:r>
      <w:r>
        <w:rPr>
          <w:rFonts w:hint="eastAsia" w:ascii="仿宋" w:hAnsi="仿宋" w:eastAsia="仿宋" w:cs="仿宋"/>
          <w:color w:val="auto"/>
          <w:sz w:val="24"/>
          <w:szCs w:val="24"/>
          <w:highlight w:val="none"/>
          <w:u w:val="single"/>
        </w:rPr>
        <w:t xml:space="preserve"> 2022年   月   日 </w:t>
      </w:r>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签订地点：</w:t>
      </w:r>
    </w:p>
    <w:p>
      <w:pPr>
        <w:spacing w:line="360" w:lineRule="auto"/>
        <w:ind w:firstLine="552" w:firstLineChars="23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根据《政府采购法》、《民法典》及2022年   月   日</w:t>
      </w:r>
      <w:r>
        <w:rPr>
          <w:rFonts w:hint="eastAsia" w:ascii="仿宋" w:hAnsi="仿宋" w:eastAsia="仿宋" w:cs="仿宋"/>
          <w:b/>
          <w:bCs/>
          <w:color w:val="auto"/>
          <w:sz w:val="24"/>
          <w:szCs w:val="24"/>
          <w:highlight w:val="none"/>
          <w:u w:val="single"/>
        </w:rPr>
        <w:t xml:space="preserve">      项目 </w:t>
      </w:r>
      <w:r>
        <w:rPr>
          <w:rFonts w:hint="eastAsia" w:ascii="仿宋" w:hAnsi="仿宋" w:eastAsia="仿宋" w:cs="仿宋"/>
          <w:color w:val="auto"/>
          <w:sz w:val="24"/>
          <w:szCs w:val="24"/>
          <w:highlight w:val="none"/>
        </w:rPr>
        <w:t>采购项目的采购结果、采购文件及投标文件，经双方协商一致，签订本合同。</w:t>
      </w:r>
      <w:bookmarkStart w:id="106" w:name="_Toc81879411"/>
    </w:p>
    <w:p>
      <w:pPr>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一.技术服务：</w:t>
      </w:r>
      <w:bookmarkEnd w:id="106"/>
    </w:p>
    <w:p>
      <w:pPr>
        <w:tabs>
          <w:tab w:val="left" w:pos="3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1.1乙方向甲方提供以下技术服务、质保期服务等相关服务。</w:t>
      </w:r>
    </w:p>
    <w:p>
      <w:pPr>
        <w:tabs>
          <w:tab w:val="left" w:pos="3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1.2乙方按其投标文件提供的货物及服务必须满足采购文件的各项要求。</w:t>
      </w:r>
    </w:p>
    <w:p>
      <w:pPr>
        <w:tabs>
          <w:tab w:val="left" w:pos="3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1.3乙方提供的技术服务、质保期等服务不得低于采购文件的要求及投标文件承诺的标准。</w:t>
      </w:r>
      <w:bookmarkStart w:id="107" w:name="_Toc81879412"/>
    </w:p>
    <w:p>
      <w:pPr>
        <w:tabs>
          <w:tab w:val="left" w:pos="3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1.4前述采购要求甲方根据实际需要进行调整。</w:t>
      </w:r>
    </w:p>
    <w:p>
      <w:pPr>
        <w:pStyle w:val="10"/>
        <w:spacing w:after="0"/>
        <w:ind w:left="0" w:leftChars="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二.价格：</w:t>
      </w:r>
      <w:bookmarkEnd w:id="107"/>
    </w:p>
    <w:p>
      <w:pPr>
        <w:tabs>
          <w:tab w:val="left" w:pos="3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2.1按照乙方的中标价，本合同价款总额为：大写人民币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元（RMB</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w:t>
      </w:r>
    </w:p>
    <w:p>
      <w:pPr>
        <w:tabs>
          <w:tab w:val="left" w:pos="3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2.2合同价格为：</w:t>
      </w:r>
      <w:bookmarkStart w:id="108" w:name="_Toc81879413"/>
      <w:r>
        <w:rPr>
          <w:rFonts w:hint="eastAsia" w:ascii="仿宋" w:hAnsi="仿宋" w:eastAsia="仿宋" w:cs="仿宋"/>
          <w:color w:val="auto"/>
          <w:sz w:val="24"/>
          <w:szCs w:val="24"/>
          <w:highlight w:val="none"/>
        </w:rPr>
        <w:t>报价</w:t>
      </w:r>
      <w:r>
        <w:rPr>
          <w:rFonts w:hint="eastAsia" w:ascii="仿宋" w:hAnsi="仿宋" w:eastAsia="仿宋" w:cs="仿宋"/>
          <w:bCs/>
          <w:color w:val="auto"/>
          <w:sz w:val="24"/>
          <w:szCs w:val="24"/>
          <w:highlight w:val="none"/>
        </w:rPr>
        <w:t>包括供应商从事本项目服务所需的一切费用，包括但不限于按合同规定应完成的勘测费、调查费、劳务费、咨询费、会务费、出版费、管理费、方案编制费、资料收集、专家论证、成果验收、利润、税金、保险等与此有关的一切费用。供应商中标后应根据国家、省、市、工程所在地政府及相关部门的规定缴纳有关费用，该费用已包含在报价中，采购人不另行给付。供应商报价时应充分考虑现场环境以及国家政策性调整等风险因素，在合同实施期间，合同价不随国家政策或法规、标准及市场因素的变化而进行调整，也不因实际服务周期的延长或缩短而调整</w:t>
      </w:r>
      <w:r>
        <w:rPr>
          <w:rFonts w:hint="eastAsia" w:ascii="仿宋" w:hAnsi="仿宋" w:eastAsia="仿宋" w:cs="仿宋"/>
          <w:color w:val="auto"/>
          <w:sz w:val="24"/>
          <w:szCs w:val="24"/>
          <w:highlight w:val="none"/>
        </w:rPr>
        <w:t>。</w:t>
      </w:r>
    </w:p>
    <w:bookmarkEnd w:id="108"/>
    <w:p>
      <w:pPr>
        <w:pStyle w:val="10"/>
        <w:numPr>
          <w:ilvl w:val="0"/>
          <w:numId w:val="7"/>
        </w:numPr>
        <w:spacing w:after="0"/>
        <w:ind w:left="0" w:leftChars="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工作内容：</w:t>
      </w:r>
    </w:p>
    <w:p>
      <w:pPr>
        <w:tabs>
          <w:tab w:val="left" w:pos="3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（一）总体要求</w:t>
      </w:r>
    </w:p>
    <w:p>
      <w:pPr>
        <w:tabs>
          <w:tab w:val="left" w:pos="3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根据《江苏省低效用地再开发专项规划和年度实施计划编制指南（试行版）》，以低效用地调查数据库成果为基础，编制苏锡通园区“十四五”时期低效用地再开发专项规划和年度实施计划，落实“十四五”期间低效用地再开发任务，完善低效用地再开发政策体系，提高土地利用节地水平和产出效益。</w:t>
      </w:r>
    </w:p>
    <w:p>
      <w:pPr>
        <w:tabs>
          <w:tab w:val="left" w:pos="3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（二）低效用地再开发专项规划工作</w:t>
      </w:r>
    </w:p>
    <w:p>
      <w:pPr>
        <w:tabs>
          <w:tab w:val="left" w:pos="3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1、规划范围和期限。规划范围应为低效用地专项调查数据库范围内的存量建设用地；规划期限为“十四五”时期，即2021年至2025年，规划基期年2020年，规划目标年2025年。</w:t>
      </w:r>
    </w:p>
    <w:p>
      <w:pPr>
        <w:tabs>
          <w:tab w:val="left" w:pos="3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基础数据。采用第三次国土调查数据及对应时点的遥感影像数据；采用的人口、社会经济数据应以国家和地方统计部门发布的数据为准，与人口普查、经济普查等成果数据一致；各类基础数据应明确口径和来源，统一使用法定的计量单位等。</w:t>
      </w:r>
    </w:p>
    <w:p>
      <w:pPr>
        <w:tabs>
          <w:tab w:val="left" w:pos="3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规划编制内容。包括进行低效用地再开发现状分析、潜力测算、确定规划期内低效用地再开发规划目标、优化低效用地再开发空间、优化土地开发强度、安排低效用地再开发时序、进行规划实施效益评价并制定相关保障措施。</w:t>
      </w:r>
    </w:p>
    <w:p>
      <w:pPr>
        <w:tabs>
          <w:tab w:val="left" w:pos="3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4、建立低效用地再开发规划数据库。完成包括规划文本、规划说明、规划表格、规划图件、规划矢量图层在内的低效用地再开发规划数据库。</w:t>
      </w:r>
    </w:p>
    <w:p>
      <w:pPr>
        <w:tabs>
          <w:tab w:val="left" w:pos="3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5、按程序完成低效用地再开发规划成果的论证、公示、审批和报备工作。</w:t>
      </w:r>
    </w:p>
    <w:p>
      <w:pPr>
        <w:tabs>
          <w:tab w:val="left" w:pos="3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（三）低效用地再开发年度实施计划工作</w:t>
      </w:r>
    </w:p>
    <w:p>
      <w:pPr>
        <w:numPr>
          <w:ilvl w:val="0"/>
          <w:numId w:val="8"/>
        </w:num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规划范围和期限。已纳入低效用再开发调查数据库成果和低效用地再开发规划成果、符合国土空间规划、土地权利人再开发意愿强、已征得再开发项目涉及利益群体同意的低效用地，可列入年度实施计划范围。以政府收购储备方式进行低效用地再开发的，还应符合地方土地储备年度计划。</w:t>
      </w:r>
    </w:p>
    <w:p>
      <w:pPr>
        <w:tabs>
          <w:tab w:val="left" w:pos="3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2、确定年度目标和任务。依据低效用地再开发规划目标年任务量，在满足地方基础设施、公共设施、公益事业等配套设施用地前提下，合理确定2021年至2025年每年度再开发完成的任务目标。</w:t>
      </w:r>
    </w:p>
    <w:p>
      <w:pPr>
        <w:tabs>
          <w:tab w:val="left" w:pos="3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确定再开发方式和再开发方向。支持各类主体参与再开发，因地制宜确定再开发方式，同时，应与城市更新等详细规划内容结合，明确低效用地年度实施地块的再开发方向，合理确定各再开发单元的容积率、土地用途、建筑密度等开发强度控制要求；重点分析调整方向与国土空间规划和产业布局规划协调情况。</w:t>
      </w:r>
    </w:p>
    <w:p>
      <w:pPr>
        <w:tabs>
          <w:tab w:val="left" w:pos="3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4、按要求报备年度实施计划。年度实施计划编制成果包括文档成果、图件成果和附件，将年度实施计划相关数据录入省级低效用地再开发管理信息系统。</w:t>
      </w:r>
    </w:p>
    <w:p>
      <w:pPr>
        <w:tabs>
          <w:tab w:val="left" w:pos="360"/>
        </w:tabs>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四.成果要求</w:t>
      </w:r>
    </w:p>
    <w:p>
      <w:pPr>
        <w:pStyle w:val="92"/>
        <w:snapToGrid w:val="0"/>
        <w:spacing w:line="360" w:lineRule="auto"/>
        <w:ind w:firstLine="480" w:firstLineChars="200"/>
        <w:rPr>
          <w:rFonts w:ascii="仿宋" w:hAnsi="仿宋" w:eastAsia="仿宋" w:cs="仿宋"/>
          <w:color w:val="auto"/>
          <w:kern w:val="2"/>
          <w:sz w:val="24"/>
          <w:szCs w:val="22"/>
          <w:highlight w:val="none"/>
        </w:rPr>
      </w:pPr>
      <w:bookmarkStart w:id="109" w:name="_Toc81879417"/>
      <w:r>
        <w:rPr>
          <w:rFonts w:hint="eastAsia" w:ascii="仿宋" w:hAnsi="仿宋" w:eastAsia="仿宋" w:cs="仿宋"/>
          <w:color w:val="auto"/>
          <w:kern w:val="2"/>
          <w:sz w:val="24"/>
          <w:szCs w:val="22"/>
          <w:highlight w:val="none"/>
        </w:rPr>
        <w:t>（一）低效用地再开发专项规划成果要求</w:t>
      </w:r>
    </w:p>
    <w:p>
      <w:pPr>
        <w:pStyle w:val="92"/>
        <w:snapToGrid w:val="0"/>
        <w:spacing w:line="360" w:lineRule="auto"/>
        <w:ind w:firstLine="480" w:firstLineChars="200"/>
        <w:rPr>
          <w:rFonts w:ascii="仿宋" w:hAnsi="仿宋" w:eastAsia="仿宋" w:cs="仿宋"/>
          <w:color w:val="auto"/>
          <w:kern w:val="2"/>
          <w:sz w:val="24"/>
          <w:szCs w:val="22"/>
          <w:highlight w:val="none"/>
        </w:rPr>
      </w:pPr>
      <w:r>
        <w:rPr>
          <w:rFonts w:hint="eastAsia" w:ascii="仿宋" w:hAnsi="仿宋" w:eastAsia="仿宋" w:cs="仿宋"/>
          <w:color w:val="auto"/>
          <w:kern w:val="2"/>
          <w:sz w:val="24"/>
          <w:szCs w:val="22"/>
          <w:highlight w:val="none"/>
        </w:rPr>
        <w:t>规划成果包括文档成果（规划文本、规划说明）、图件成果、表格成果、数据库成果和其他成果。除纸质形式外，规划成果按照汇交要求，形成相关电子数据，并将规划数据录入低效用地再开发管理信息系统。</w:t>
      </w:r>
    </w:p>
    <w:p>
      <w:pPr>
        <w:pStyle w:val="92"/>
        <w:snapToGrid w:val="0"/>
        <w:spacing w:line="360" w:lineRule="auto"/>
        <w:ind w:firstLine="480" w:firstLineChars="200"/>
        <w:rPr>
          <w:rFonts w:ascii="仿宋" w:hAnsi="仿宋" w:eastAsia="仿宋" w:cs="仿宋"/>
          <w:color w:val="auto"/>
          <w:kern w:val="2"/>
          <w:sz w:val="24"/>
          <w:szCs w:val="22"/>
          <w:highlight w:val="none"/>
        </w:rPr>
      </w:pPr>
      <w:r>
        <w:rPr>
          <w:rFonts w:hint="eastAsia" w:ascii="仿宋" w:hAnsi="仿宋" w:eastAsia="仿宋" w:cs="仿宋"/>
          <w:color w:val="auto"/>
          <w:kern w:val="2"/>
          <w:sz w:val="24"/>
          <w:szCs w:val="22"/>
          <w:highlight w:val="none"/>
        </w:rPr>
        <w:t>1、 规划文本。</w:t>
      </w:r>
    </w:p>
    <w:p>
      <w:pPr>
        <w:pStyle w:val="92"/>
        <w:snapToGrid w:val="0"/>
        <w:spacing w:line="360" w:lineRule="auto"/>
        <w:ind w:firstLine="480" w:firstLineChars="200"/>
        <w:rPr>
          <w:rFonts w:ascii="仿宋" w:hAnsi="仿宋" w:eastAsia="仿宋" w:cs="仿宋"/>
          <w:color w:val="auto"/>
          <w:kern w:val="2"/>
          <w:sz w:val="24"/>
          <w:szCs w:val="22"/>
          <w:highlight w:val="none"/>
        </w:rPr>
      </w:pPr>
      <w:r>
        <w:rPr>
          <w:rFonts w:hint="eastAsia" w:ascii="仿宋" w:hAnsi="仿宋" w:eastAsia="仿宋" w:cs="仿宋"/>
          <w:color w:val="auto"/>
          <w:kern w:val="2"/>
          <w:sz w:val="24"/>
          <w:szCs w:val="22"/>
          <w:highlight w:val="none"/>
        </w:rPr>
        <w:t>规划文本一般包含以下内容：1）总则；2）区域概况；3）低效用地现状及潜力分析；4）规划目标及任务；5）低效用地再开发空间布局、用地结构和土地利用强度优化；6）再开发时序安排；7）资金筹措和利益分配；8）规划实施效益评价；9）保障措施；10）文本附表。</w:t>
      </w:r>
    </w:p>
    <w:p>
      <w:pPr>
        <w:pStyle w:val="92"/>
        <w:snapToGrid w:val="0"/>
        <w:spacing w:line="360" w:lineRule="auto"/>
        <w:ind w:firstLine="480" w:firstLineChars="200"/>
        <w:rPr>
          <w:rFonts w:ascii="仿宋" w:hAnsi="仿宋" w:eastAsia="仿宋" w:cs="仿宋"/>
          <w:color w:val="auto"/>
          <w:kern w:val="2"/>
          <w:sz w:val="24"/>
          <w:szCs w:val="22"/>
          <w:highlight w:val="none"/>
        </w:rPr>
      </w:pPr>
      <w:r>
        <w:rPr>
          <w:rFonts w:hint="eastAsia" w:ascii="仿宋" w:hAnsi="仿宋" w:eastAsia="仿宋" w:cs="仿宋"/>
          <w:color w:val="auto"/>
          <w:kern w:val="2"/>
          <w:sz w:val="24"/>
          <w:szCs w:val="22"/>
          <w:highlight w:val="none"/>
        </w:rPr>
        <w:t>2、图件成果。</w:t>
      </w:r>
    </w:p>
    <w:p>
      <w:pPr>
        <w:pStyle w:val="92"/>
        <w:snapToGrid w:val="0"/>
        <w:spacing w:line="360" w:lineRule="auto"/>
        <w:ind w:firstLine="480" w:firstLineChars="200"/>
        <w:rPr>
          <w:rFonts w:ascii="仿宋" w:hAnsi="仿宋" w:eastAsia="仿宋" w:cs="仿宋"/>
          <w:color w:val="auto"/>
          <w:kern w:val="2"/>
          <w:sz w:val="24"/>
          <w:szCs w:val="22"/>
          <w:highlight w:val="none"/>
        </w:rPr>
      </w:pPr>
      <w:r>
        <w:rPr>
          <w:rFonts w:hint="eastAsia" w:ascii="仿宋" w:hAnsi="仿宋" w:eastAsia="仿宋" w:cs="仿宋"/>
          <w:color w:val="auto"/>
          <w:kern w:val="2"/>
          <w:sz w:val="24"/>
          <w:szCs w:val="22"/>
          <w:highlight w:val="none"/>
        </w:rPr>
        <w:t>规划图件应内容表达全面、清晰，并和规划文本内容及相关数据保持一致。规划图件包括：1）低效用地现状分布图；2）低效用地再开发规划图；3）低效用地再开发强度引导图；4）低效用地再开发建设时序图；5）其它区位及与相关规划协调图等。</w:t>
      </w:r>
    </w:p>
    <w:p>
      <w:pPr>
        <w:pStyle w:val="92"/>
        <w:snapToGrid w:val="0"/>
        <w:spacing w:line="360" w:lineRule="auto"/>
        <w:ind w:firstLine="480" w:firstLineChars="200"/>
        <w:rPr>
          <w:rFonts w:ascii="仿宋" w:hAnsi="仿宋" w:eastAsia="仿宋" w:cs="仿宋"/>
          <w:color w:val="auto"/>
          <w:kern w:val="2"/>
          <w:sz w:val="24"/>
          <w:szCs w:val="22"/>
          <w:highlight w:val="none"/>
        </w:rPr>
      </w:pPr>
      <w:r>
        <w:rPr>
          <w:rFonts w:hint="eastAsia" w:ascii="仿宋" w:hAnsi="仿宋" w:eastAsia="仿宋" w:cs="仿宋"/>
          <w:color w:val="auto"/>
          <w:kern w:val="2"/>
          <w:sz w:val="24"/>
          <w:szCs w:val="22"/>
          <w:highlight w:val="none"/>
        </w:rPr>
        <w:t>3、规划说明</w:t>
      </w:r>
    </w:p>
    <w:p>
      <w:pPr>
        <w:pStyle w:val="92"/>
        <w:snapToGrid w:val="0"/>
        <w:spacing w:line="360" w:lineRule="auto"/>
        <w:ind w:firstLine="480" w:firstLineChars="200"/>
        <w:rPr>
          <w:rFonts w:ascii="仿宋" w:hAnsi="仿宋" w:eastAsia="仿宋" w:cs="仿宋"/>
          <w:color w:val="auto"/>
          <w:kern w:val="2"/>
          <w:sz w:val="24"/>
          <w:szCs w:val="22"/>
          <w:highlight w:val="none"/>
        </w:rPr>
      </w:pPr>
      <w:r>
        <w:rPr>
          <w:rFonts w:hint="eastAsia" w:ascii="仿宋" w:hAnsi="仿宋" w:eastAsia="仿宋" w:cs="仿宋"/>
          <w:color w:val="auto"/>
          <w:kern w:val="2"/>
          <w:sz w:val="24"/>
          <w:szCs w:val="22"/>
          <w:highlight w:val="none"/>
        </w:rPr>
        <w:t>规划说明主要阐述规划决策的依据和过程，是规划实施中规划文本使用的主要参考。一般包含以下内容：1）规划编制背景形势分析；2）规划编制过程：3）上轮规划实施情况；4）基础数据收集和分析；5）低效用地认定过程；6）低效用地现状及再开发潜力分析过程；7）规划目标与任务落实；8）与相关规划的衔接情况；9）征求意见情况；10）规划实施的可行性分析；11）规划实施社会稳定性风险评估；12）需说明的其他事项等。</w:t>
      </w:r>
    </w:p>
    <w:p>
      <w:pPr>
        <w:pStyle w:val="92"/>
        <w:snapToGrid w:val="0"/>
        <w:spacing w:line="360" w:lineRule="auto"/>
        <w:ind w:firstLine="480" w:firstLineChars="200"/>
        <w:rPr>
          <w:rFonts w:ascii="仿宋" w:hAnsi="仿宋" w:eastAsia="仿宋" w:cs="仿宋"/>
          <w:color w:val="auto"/>
          <w:kern w:val="2"/>
          <w:sz w:val="24"/>
          <w:szCs w:val="22"/>
          <w:highlight w:val="none"/>
        </w:rPr>
      </w:pPr>
      <w:r>
        <w:rPr>
          <w:rFonts w:hint="eastAsia" w:ascii="仿宋" w:hAnsi="仿宋" w:eastAsia="仿宋" w:cs="仿宋"/>
          <w:color w:val="auto"/>
          <w:kern w:val="2"/>
          <w:sz w:val="24"/>
          <w:szCs w:val="22"/>
          <w:highlight w:val="none"/>
        </w:rPr>
        <w:t>4、数据库成果</w:t>
      </w:r>
    </w:p>
    <w:p>
      <w:pPr>
        <w:pStyle w:val="92"/>
        <w:snapToGrid w:val="0"/>
        <w:spacing w:line="360" w:lineRule="auto"/>
        <w:ind w:firstLine="480" w:firstLineChars="200"/>
        <w:rPr>
          <w:rFonts w:ascii="仿宋" w:hAnsi="仿宋" w:eastAsia="仿宋" w:cs="仿宋"/>
          <w:color w:val="auto"/>
          <w:kern w:val="2"/>
          <w:sz w:val="24"/>
          <w:szCs w:val="22"/>
          <w:highlight w:val="none"/>
        </w:rPr>
      </w:pPr>
      <w:r>
        <w:rPr>
          <w:rFonts w:hint="eastAsia" w:ascii="仿宋" w:hAnsi="仿宋" w:eastAsia="仿宋" w:cs="仿宋"/>
          <w:color w:val="auto"/>
          <w:kern w:val="2"/>
          <w:sz w:val="24"/>
          <w:szCs w:val="22"/>
          <w:highlight w:val="none"/>
        </w:rPr>
        <w:t>数据库成果为苏锡通园区低效用地再开发专项规划成果数据的电子形式，包括规划文档、规划图件的矢量数据和栅格数据、规划表格、元数据等。</w:t>
      </w:r>
    </w:p>
    <w:p>
      <w:pPr>
        <w:pStyle w:val="92"/>
        <w:snapToGrid w:val="0"/>
        <w:spacing w:line="360" w:lineRule="auto"/>
        <w:ind w:firstLine="480" w:firstLineChars="200"/>
        <w:rPr>
          <w:rFonts w:ascii="仿宋" w:hAnsi="仿宋" w:eastAsia="仿宋" w:cs="仿宋"/>
          <w:color w:val="auto"/>
          <w:kern w:val="2"/>
          <w:sz w:val="24"/>
          <w:szCs w:val="22"/>
          <w:highlight w:val="none"/>
        </w:rPr>
      </w:pPr>
      <w:r>
        <w:rPr>
          <w:rFonts w:hint="eastAsia" w:ascii="仿宋" w:hAnsi="仿宋" w:eastAsia="仿宋" w:cs="仿宋"/>
          <w:color w:val="auto"/>
          <w:kern w:val="2"/>
          <w:sz w:val="24"/>
          <w:szCs w:val="22"/>
          <w:highlight w:val="none"/>
        </w:rPr>
        <w:t>5、其他材料</w:t>
      </w:r>
    </w:p>
    <w:p>
      <w:pPr>
        <w:pStyle w:val="92"/>
        <w:snapToGrid w:val="0"/>
        <w:spacing w:line="360" w:lineRule="auto"/>
        <w:ind w:firstLine="480" w:firstLineChars="200"/>
        <w:rPr>
          <w:rFonts w:ascii="仿宋" w:hAnsi="仿宋" w:eastAsia="仿宋" w:cs="仿宋"/>
          <w:color w:val="auto"/>
          <w:kern w:val="2"/>
          <w:sz w:val="24"/>
          <w:szCs w:val="22"/>
          <w:highlight w:val="none"/>
        </w:rPr>
      </w:pPr>
      <w:r>
        <w:rPr>
          <w:rFonts w:hint="eastAsia" w:ascii="仿宋" w:hAnsi="仿宋" w:eastAsia="仿宋" w:cs="仿宋"/>
          <w:color w:val="auto"/>
          <w:kern w:val="2"/>
          <w:sz w:val="24"/>
          <w:szCs w:val="22"/>
          <w:highlight w:val="none"/>
        </w:rPr>
        <w:t>主要包括：其他材料包括规划编制过程中形成的工作报告、专题研究报告、会议纪要、部门意见、专家论证意见等。</w:t>
      </w:r>
    </w:p>
    <w:p>
      <w:pPr>
        <w:pStyle w:val="92"/>
        <w:snapToGrid w:val="0"/>
        <w:spacing w:line="360" w:lineRule="auto"/>
        <w:ind w:firstLine="480" w:firstLineChars="200"/>
        <w:rPr>
          <w:rFonts w:ascii="仿宋" w:hAnsi="仿宋" w:eastAsia="仿宋" w:cs="仿宋"/>
          <w:color w:val="auto"/>
          <w:kern w:val="2"/>
          <w:sz w:val="24"/>
          <w:szCs w:val="22"/>
          <w:highlight w:val="none"/>
        </w:rPr>
      </w:pPr>
      <w:r>
        <w:rPr>
          <w:rFonts w:hint="eastAsia" w:ascii="仿宋" w:hAnsi="仿宋" w:eastAsia="仿宋" w:cs="仿宋"/>
          <w:color w:val="auto"/>
          <w:kern w:val="2"/>
          <w:sz w:val="24"/>
          <w:szCs w:val="22"/>
          <w:highlight w:val="none"/>
        </w:rPr>
        <w:t>（二）低效用地再开发年度实施计划成果要求</w:t>
      </w:r>
    </w:p>
    <w:p>
      <w:pPr>
        <w:pStyle w:val="92"/>
        <w:snapToGrid w:val="0"/>
        <w:spacing w:line="360" w:lineRule="auto"/>
        <w:ind w:firstLine="480" w:firstLineChars="200"/>
        <w:rPr>
          <w:rFonts w:ascii="仿宋" w:hAnsi="仿宋" w:eastAsia="仿宋" w:cs="仿宋"/>
          <w:color w:val="auto"/>
          <w:kern w:val="2"/>
          <w:sz w:val="24"/>
          <w:szCs w:val="22"/>
          <w:highlight w:val="none"/>
        </w:rPr>
      </w:pPr>
      <w:r>
        <w:rPr>
          <w:rFonts w:hint="eastAsia" w:ascii="仿宋" w:hAnsi="仿宋" w:eastAsia="仿宋" w:cs="仿宋"/>
          <w:color w:val="auto"/>
          <w:kern w:val="2"/>
          <w:sz w:val="24"/>
          <w:szCs w:val="22"/>
          <w:highlight w:val="none"/>
        </w:rPr>
        <w:t>年度实施计划编制成果包括文档成果、图件成果和附件。除纸质形式外，计划成果按照汇交要求，形成相关电子数据，并将年度实施计划相关数据录入低效用地再开发管理信息系统。</w:t>
      </w:r>
    </w:p>
    <w:p>
      <w:pPr>
        <w:pStyle w:val="92"/>
        <w:snapToGrid w:val="0"/>
        <w:spacing w:line="360" w:lineRule="auto"/>
        <w:ind w:firstLine="480" w:firstLineChars="200"/>
        <w:rPr>
          <w:rFonts w:ascii="仿宋" w:hAnsi="仿宋" w:eastAsia="仿宋" w:cs="仿宋"/>
          <w:color w:val="auto"/>
          <w:kern w:val="2"/>
          <w:sz w:val="24"/>
          <w:szCs w:val="22"/>
          <w:highlight w:val="none"/>
        </w:rPr>
      </w:pPr>
      <w:r>
        <w:rPr>
          <w:rFonts w:hint="eastAsia" w:ascii="仿宋" w:hAnsi="仿宋" w:eastAsia="仿宋" w:cs="仿宋"/>
          <w:color w:val="auto"/>
          <w:kern w:val="2"/>
          <w:sz w:val="24"/>
          <w:szCs w:val="22"/>
          <w:highlight w:val="none"/>
        </w:rPr>
        <w:t>1、文档成果</w:t>
      </w:r>
    </w:p>
    <w:p>
      <w:pPr>
        <w:pStyle w:val="92"/>
        <w:snapToGrid w:val="0"/>
        <w:spacing w:line="360" w:lineRule="auto"/>
        <w:ind w:firstLine="480" w:firstLineChars="200"/>
        <w:rPr>
          <w:rFonts w:ascii="仿宋" w:hAnsi="仿宋" w:eastAsia="仿宋" w:cs="仿宋"/>
          <w:color w:val="auto"/>
          <w:kern w:val="2"/>
          <w:sz w:val="24"/>
          <w:szCs w:val="22"/>
          <w:highlight w:val="none"/>
        </w:rPr>
      </w:pPr>
      <w:r>
        <w:rPr>
          <w:rFonts w:hint="eastAsia" w:ascii="仿宋" w:hAnsi="仿宋" w:eastAsia="仿宋" w:cs="仿宋"/>
          <w:color w:val="auto"/>
          <w:kern w:val="2"/>
          <w:sz w:val="24"/>
          <w:szCs w:val="22"/>
          <w:highlight w:val="none"/>
        </w:rPr>
        <w:t>年度实施计划文档成果主要为年度实施计划文本，一般包含以下内容：</w:t>
      </w:r>
    </w:p>
    <w:p>
      <w:pPr>
        <w:pStyle w:val="92"/>
        <w:snapToGrid w:val="0"/>
        <w:spacing w:line="360" w:lineRule="auto"/>
        <w:ind w:firstLine="480" w:firstLineChars="200"/>
        <w:rPr>
          <w:rFonts w:ascii="仿宋" w:hAnsi="仿宋" w:eastAsia="仿宋" w:cs="仿宋"/>
          <w:color w:val="auto"/>
          <w:kern w:val="2"/>
          <w:sz w:val="24"/>
          <w:szCs w:val="22"/>
          <w:highlight w:val="none"/>
        </w:rPr>
      </w:pPr>
      <w:r>
        <w:rPr>
          <w:rFonts w:hint="eastAsia" w:ascii="仿宋" w:hAnsi="仿宋" w:eastAsia="仿宋" w:cs="仿宋"/>
          <w:color w:val="auto"/>
          <w:kern w:val="2"/>
          <w:sz w:val="24"/>
          <w:szCs w:val="22"/>
          <w:highlight w:val="none"/>
        </w:rPr>
        <w:t>1）总则；2）年度目标与任务；3）再开发思路与方式；4）再开发方向；5）安置补偿方案；6）再开发进度安排；7）费用估算及资金筹措计划；8）计划实施评价；9）实施保障措施；10）计划文本附表。</w:t>
      </w:r>
    </w:p>
    <w:p>
      <w:pPr>
        <w:pStyle w:val="92"/>
        <w:snapToGrid w:val="0"/>
        <w:spacing w:line="360" w:lineRule="auto"/>
        <w:ind w:firstLine="480" w:firstLineChars="200"/>
        <w:rPr>
          <w:rFonts w:ascii="仿宋" w:hAnsi="仿宋" w:eastAsia="仿宋" w:cs="仿宋"/>
          <w:color w:val="auto"/>
          <w:kern w:val="2"/>
          <w:sz w:val="24"/>
          <w:szCs w:val="22"/>
          <w:highlight w:val="none"/>
        </w:rPr>
      </w:pPr>
      <w:r>
        <w:rPr>
          <w:rFonts w:hint="eastAsia" w:ascii="仿宋" w:hAnsi="仿宋" w:eastAsia="仿宋" w:cs="仿宋"/>
          <w:color w:val="auto"/>
          <w:kern w:val="2"/>
          <w:sz w:val="24"/>
          <w:szCs w:val="22"/>
          <w:highlight w:val="none"/>
        </w:rPr>
        <w:t>2、图件成果</w:t>
      </w:r>
    </w:p>
    <w:p>
      <w:pPr>
        <w:pStyle w:val="92"/>
        <w:snapToGrid w:val="0"/>
        <w:spacing w:line="360" w:lineRule="auto"/>
        <w:ind w:firstLine="480" w:firstLineChars="200"/>
        <w:rPr>
          <w:rFonts w:ascii="仿宋" w:hAnsi="仿宋" w:eastAsia="仿宋" w:cs="仿宋"/>
          <w:color w:val="auto"/>
          <w:kern w:val="2"/>
          <w:sz w:val="24"/>
          <w:szCs w:val="22"/>
          <w:highlight w:val="none"/>
        </w:rPr>
      </w:pPr>
      <w:r>
        <w:rPr>
          <w:rFonts w:hint="eastAsia" w:ascii="仿宋" w:hAnsi="仿宋" w:eastAsia="仿宋" w:cs="仿宋"/>
          <w:color w:val="auto"/>
          <w:kern w:val="2"/>
          <w:sz w:val="24"/>
          <w:szCs w:val="22"/>
          <w:highlight w:val="none"/>
        </w:rPr>
        <w:t>图件成果一般包含以下内容：1）年度低效用地再开发项目位置示意图；2）年度低效用地再开发项目规划图</w:t>
      </w:r>
    </w:p>
    <w:p>
      <w:pPr>
        <w:pStyle w:val="92"/>
        <w:snapToGrid w:val="0"/>
        <w:spacing w:line="360" w:lineRule="auto"/>
        <w:ind w:firstLine="480" w:firstLineChars="200"/>
        <w:rPr>
          <w:rFonts w:ascii="仿宋" w:hAnsi="仿宋" w:eastAsia="仿宋" w:cs="仿宋"/>
          <w:color w:val="auto"/>
          <w:kern w:val="2"/>
          <w:sz w:val="24"/>
          <w:szCs w:val="22"/>
          <w:highlight w:val="none"/>
        </w:rPr>
      </w:pPr>
      <w:r>
        <w:rPr>
          <w:rFonts w:hint="eastAsia" w:ascii="仿宋" w:hAnsi="仿宋" w:eastAsia="仿宋" w:cs="仿宋"/>
          <w:color w:val="auto"/>
          <w:kern w:val="2"/>
          <w:sz w:val="24"/>
          <w:szCs w:val="22"/>
          <w:highlight w:val="none"/>
        </w:rPr>
        <w:t>3、附件</w:t>
      </w:r>
    </w:p>
    <w:p>
      <w:pPr>
        <w:pStyle w:val="92"/>
        <w:snapToGrid w:val="0"/>
        <w:spacing w:line="360" w:lineRule="auto"/>
        <w:ind w:firstLine="480" w:firstLineChars="200"/>
        <w:rPr>
          <w:rFonts w:ascii="仿宋" w:hAnsi="仿宋" w:eastAsia="仿宋" w:cs="仿宋"/>
          <w:color w:val="auto"/>
          <w:kern w:val="2"/>
          <w:sz w:val="24"/>
          <w:szCs w:val="22"/>
          <w:highlight w:val="none"/>
        </w:rPr>
      </w:pPr>
      <w:r>
        <w:rPr>
          <w:rFonts w:hint="eastAsia" w:ascii="仿宋" w:hAnsi="仿宋" w:eastAsia="仿宋" w:cs="仿宋"/>
          <w:color w:val="auto"/>
          <w:kern w:val="2"/>
          <w:sz w:val="24"/>
          <w:szCs w:val="22"/>
          <w:highlight w:val="none"/>
        </w:rPr>
        <w:t>其他相关材料。</w:t>
      </w:r>
    </w:p>
    <w:p>
      <w:pPr>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五.验收要求</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要求严格按照《江苏省低效用地再开发专项规划和年度实施计划编制指南（试行版）》，项目完成后通过省厅备案。</w:t>
      </w:r>
    </w:p>
    <w:p>
      <w:pPr>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六.服务期限</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自合同签订之日起至2025年12月31日止。其中编制十四五时期低效用地再开发专项规划方案及2021-2022年度实施计划的编制自合同签订期6个月内完成；2023-2025每年度实施计划的编制当年完成。</w:t>
      </w:r>
    </w:p>
    <w:p>
      <w:pPr>
        <w:pStyle w:val="18"/>
        <w:widowControl w:val="0"/>
        <w:snapToGrid w:val="0"/>
        <w:spacing w:before="0" w:beforeAutospacing="0" w:after="0" w:afterAutospacing="0" w:line="560" w:lineRule="exact"/>
        <w:jc w:val="both"/>
        <w:rPr>
          <w:rFonts w:ascii="仿宋" w:hAnsi="仿宋" w:eastAsia="仿宋" w:cs="仿宋"/>
          <w:b/>
          <w:bCs/>
          <w:color w:val="auto"/>
          <w:highlight w:val="none"/>
        </w:rPr>
      </w:pPr>
      <w:r>
        <w:rPr>
          <w:rFonts w:hint="eastAsia" w:ascii="仿宋" w:hAnsi="仿宋" w:eastAsia="仿宋" w:cs="仿宋"/>
          <w:b/>
          <w:bCs/>
          <w:color w:val="auto"/>
          <w:highlight w:val="none"/>
        </w:rPr>
        <w:t>七.履约保证金</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本项目履约保证金为合同价的10%，即</w:t>
      </w:r>
      <w:r>
        <w:rPr>
          <w:rFonts w:hint="eastAsia" w:ascii="仿宋" w:hAnsi="仿宋" w:eastAsia="仿宋" w:cs="仿宋"/>
          <w:color w:val="auto"/>
          <w:sz w:val="24"/>
          <w:szCs w:val="24"/>
          <w:highlight w:val="none"/>
          <w:u w:val="single"/>
        </w:rPr>
        <w:t>人民币    元整（¥：   ）</w:t>
      </w:r>
      <w:r>
        <w:rPr>
          <w:rFonts w:hint="eastAsia" w:ascii="仿宋" w:hAnsi="仿宋" w:eastAsia="仿宋" w:cs="仿宋"/>
          <w:color w:val="auto"/>
          <w:sz w:val="24"/>
          <w:szCs w:val="24"/>
          <w:highlight w:val="none"/>
        </w:rPr>
        <w:t>，成交供应商的履约保证金可以以转账、支票、汇票、本票、保函等非现金形式缴纳，于本项目结束并验收合格后无息退还。</w:t>
      </w:r>
    </w:p>
    <w:p>
      <w:pPr>
        <w:pStyle w:val="21"/>
        <w:spacing w:after="0"/>
        <w:ind w:left="0" w:leftChars="0" w:firstLine="482"/>
        <w:rPr>
          <w:color w:val="auto"/>
          <w:highlight w:val="none"/>
        </w:rPr>
      </w:pPr>
      <w:r>
        <w:rPr>
          <w:rFonts w:hint="eastAsia" w:ascii="仿宋" w:hAnsi="仿宋" w:eastAsia="仿宋" w:cs="仿宋"/>
          <w:b/>
          <w:bCs/>
          <w:color w:val="auto"/>
          <w:sz w:val="24"/>
          <w:szCs w:val="24"/>
          <w:highlight w:val="none"/>
        </w:rPr>
        <w:t>注明：对政府采购信用档案中无不良记录的中小企业免收履约保证金。</w:t>
      </w:r>
    </w:p>
    <w:p>
      <w:pPr>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八.结算及付款方式</w:t>
      </w:r>
      <w:bookmarkEnd w:id="109"/>
    </w:p>
    <w:p>
      <w:pPr>
        <w:tabs>
          <w:tab w:val="left" w:pos="3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8.1 合同乙方即采购项目的中标人，结算价格为中标人投标文件所报中标价格。</w:t>
      </w:r>
    </w:p>
    <w:p>
      <w:pPr>
        <w:tabs>
          <w:tab w:val="left" w:pos="360"/>
        </w:tabs>
        <w:spacing w:line="360" w:lineRule="auto"/>
        <w:ind w:firstLine="480" w:firstLineChars="200"/>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8.2（1）</w:t>
      </w:r>
      <w:r>
        <w:rPr>
          <w:rFonts w:hint="eastAsia" w:ascii="仿宋" w:hAnsi="仿宋" w:eastAsia="仿宋" w:cs="仿宋"/>
          <w:b/>
          <w:color w:val="auto"/>
          <w:sz w:val="24"/>
          <w:szCs w:val="24"/>
          <w:highlight w:val="none"/>
        </w:rPr>
        <w:t>合同签订后一周内支付合同价的10%</w:t>
      </w:r>
      <w:bookmarkStart w:id="110" w:name="_Hlk103521379"/>
      <w:r>
        <w:rPr>
          <w:rFonts w:hint="eastAsia" w:ascii="仿宋" w:hAnsi="仿宋" w:eastAsia="仿宋" w:cs="仿宋"/>
          <w:b/>
          <w:color w:val="auto"/>
          <w:sz w:val="24"/>
          <w:szCs w:val="24"/>
          <w:highlight w:val="none"/>
        </w:rPr>
        <w:t>。</w:t>
      </w:r>
    </w:p>
    <w:p>
      <w:pPr>
        <w:tabs>
          <w:tab w:val="left" w:pos="360"/>
        </w:tabs>
        <w:spacing w:line="360" w:lineRule="auto"/>
        <w:ind w:firstLine="480"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（2）十四五时期低效用地再开发专项规划方案及2021-2022年度实施计划的编制的费用，待成果通过江苏省自然资源厅审查合格及备案后，2022年底一次性付清；2022年底结算的费用，扣除签订合同时10%的预付款。</w:t>
      </w:r>
    </w:p>
    <w:p>
      <w:pPr>
        <w:tabs>
          <w:tab w:val="left" w:pos="360"/>
        </w:tabs>
        <w:spacing w:line="360" w:lineRule="auto"/>
        <w:ind w:firstLine="480"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（3）2023-2025每年度编制的年度实施计划通过江苏省自然资源厅备案后，费用于当年年底一次性清（以上均不计息）</w:t>
      </w:r>
      <w:bookmarkEnd w:id="110"/>
      <w:r>
        <w:rPr>
          <w:rFonts w:hint="eastAsia" w:ascii="仿宋" w:hAnsi="仿宋" w:eastAsia="仿宋" w:cs="仿宋"/>
          <w:b/>
          <w:color w:val="auto"/>
          <w:sz w:val="24"/>
          <w:szCs w:val="24"/>
          <w:highlight w:val="none"/>
        </w:rPr>
        <w:t>。</w:t>
      </w:r>
    </w:p>
    <w:p>
      <w:pPr>
        <w:snapToGrid w:val="0"/>
        <w:spacing w:line="360" w:lineRule="auto"/>
        <w:ind w:firstLine="480" w:firstLineChars="200"/>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注明：签订合同时，供应商明确表示无需预付款或者主动要求降低预付款比例的，采购人不适用上述规定。</w:t>
      </w:r>
    </w:p>
    <w:p>
      <w:pPr>
        <w:snapToGrid w:val="0"/>
        <w:spacing w:line="360" w:lineRule="auto"/>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8.3发票由乙方按国家有关财税规定开具给甲方，甲方在收到乙方提供的发票后付款，若乙方延迟开票，甲方付款时间顺延。</w:t>
      </w:r>
      <w:bookmarkStart w:id="111" w:name="_Toc81879418"/>
    </w:p>
    <w:p>
      <w:pPr>
        <w:tabs>
          <w:tab w:val="left" w:pos="360"/>
          <w:tab w:val="left" w:pos="540"/>
        </w:tabs>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九.违约责任：</w:t>
      </w:r>
      <w:bookmarkEnd w:id="111"/>
    </w:p>
    <w:p>
      <w:pPr>
        <w:tabs>
          <w:tab w:val="left" w:pos="3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9.1乙方未能准时提交调查成果，则向甲方支付</w:t>
      </w:r>
      <w:bookmarkStart w:id="112" w:name="_Hlk80341315"/>
      <w:r>
        <w:rPr>
          <w:rFonts w:hint="eastAsia" w:ascii="仿宋" w:hAnsi="仿宋" w:eastAsia="仿宋" w:cs="仿宋"/>
          <w:color w:val="auto"/>
          <w:sz w:val="24"/>
          <w:szCs w:val="24"/>
          <w:highlight w:val="none"/>
        </w:rPr>
        <w:t>该项服务费</w:t>
      </w:r>
      <w:bookmarkEnd w:id="112"/>
      <w:r>
        <w:rPr>
          <w:rFonts w:hint="eastAsia" w:ascii="仿宋" w:hAnsi="仿宋" w:eastAsia="仿宋" w:cs="仿宋"/>
          <w:color w:val="auto"/>
          <w:sz w:val="24"/>
          <w:szCs w:val="24"/>
          <w:highlight w:val="none"/>
        </w:rPr>
        <w:t>总额10%的违约金。</w:t>
      </w:r>
    </w:p>
    <w:p>
      <w:pPr>
        <w:tabs>
          <w:tab w:val="left" w:pos="3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9.2乙方提交的调查成果不符合合同规定的，甲方有权拒收，乙方应退还甲方支付的所有费用，并向甲方支付该项服务费总额10%的违约金。</w:t>
      </w:r>
    </w:p>
    <w:p>
      <w:pPr>
        <w:spacing w:line="360" w:lineRule="auto"/>
        <w:rPr>
          <w:rFonts w:ascii="仿宋" w:hAnsi="仿宋" w:eastAsia="仿宋" w:cs="仿宋"/>
          <w:b/>
          <w:bCs/>
          <w:color w:val="auto"/>
          <w:sz w:val="24"/>
          <w:szCs w:val="24"/>
          <w:highlight w:val="none"/>
        </w:rPr>
      </w:pPr>
      <w:bookmarkStart w:id="113" w:name="_Toc81879419"/>
      <w:r>
        <w:rPr>
          <w:rFonts w:hint="eastAsia" w:ascii="仿宋" w:hAnsi="仿宋" w:eastAsia="仿宋" w:cs="仿宋"/>
          <w:b/>
          <w:bCs/>
          <w:color w:val="auto"/>
          <w:sz w:val="24"/>
          <w:szCs w:val="24"/>
          <w:highlight w:val="none"/>
        </w:rPr>
        <w:t>十.保密条款：</w:t>
      </w:r>
    </w:p>
    <w:p>
      <w:pPr>
        <w:snapToGrid w:val="0"/>
        <w:spacing w:line="360" w:lineRule="auto"/>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乙方对在工作过程中接触到的甲方的任何资料、文件、数据(无论是书面的还是电子的)，以及对为甲方服务形成的任何交付物，负有为甲方保密的责任。未经甲方书面同意，乙方不得以任何方式向任何第三方提供或透露。</w:t>
      </w:r>
    </w:p>
    <w:p>
      <w:pPr>
        <w:snapToGrid w:val="0"/>
        <w:spacing w:line="360" w:lineRule="auto"/>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 甲方向乙方提供的任何资料、文件和信息，在乙方服务结束后，乙方均应及时归还甲方，电子文档的应从自己的电脑等存储设备上予永久删除。</w:t>
      </w:r>
    </w:p>
    <w:p>
      <w:pPr>
        <w:snapToGrid w:val="0"/>
        <w:spacing w:line="360" w:lineRule="auto"/>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3. 乙方人员违反上述保密规定时间，乙方应承担相应法律责任。 </w:t>
      </w:r>
    </w:p>
    <w:p>
      <w:pPr>
        <w:snapToGrid w:val="0"/>
        <w:spacing w:line="360" w:lineRule="auto"/>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 以上1、2、3款在合同有效期结束后继续生效。</w:t>
      </w:r>
    </w:p>
    <w:p>
      <w:pPr>
        <w:numPr>
          <w:ilvl w:val="1"/>
          <w:numId w:val="0"/>
        </w:numPr>
        <w:tabs>
          <w:tab w:val="left" w:pos="360"/>
          <w:tab w:val="left" w:pos="540"/>
        </w:tabs>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十一.不可抗力：</w:t>
      </w:r>
      <w:bookmarkEnd w:id="113"/>
    </w:p>
    <w:p>
      <w:pPr>
        <w:tabs>
          <w:tab w:val="left" w:pos="3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11.1由于不可抗力因素（指火灾、地震、洪水、战争等）使乙方不能在合同规定的期限内交货时，乙方必须立即以书面形式通知甲方，并以书面形式向甲方提供有关政府机关所出具的不可抗力因素证明。</w:t>
      </w:r>
    </w:p>
    <w:p>
      <w:pPr>
        <w:tabs>
          <w:tab w:val="left" w:pos="3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11.2在不可抗力发生时，乙方应尽快以书面形式将不可抗力的情况和原因通知甲方。除非甲方书面另有要求，乙方应尽可能继续履行合同义务，以及寻求合理的方案履行未受不可抗力影响的其它事项。如因不可抗力导致合同不能履约，并在30天内不能恢复履约，则任何一方可提出终止合同。在这种情况下，双方应协商解决合同终止以前双方应得的利益问题。</w:t>
      </w:r>
      <w:bookmarkStart w:id="114" w:name="_Toc81879420"/>
    </w:p>
    <w:bookmarkEnd w:id="114"/>
    <w:p>
      <w:pPr>
        <w:spacing w:line="360" w:lineRule="auto"/>
        <w:ind w:left="482" w:hanging="480" w:hangingChars="200"/>
        <w:rPr>
          <w:rFonts w:ascii="仿宋" w:hAnsi="仿宋" w:eastAsia="仿宋" w:cs="仿宋"/>
          <w:b/>
          <w:bCs/>
          <w:color w:val="auto"/>
          <w:sz w:val="24"/>
          <w:szCs w:val="24"/>
          <w:highlight w:val="none"/>
        </w:rPr>
      </w:pPr>
      <w:bookmarkStart w:id="115" w:name="_Toc81879421"/>
      <w:r>
        <w:rPr>
          <w:rFonts w:hint="eastAsia" w:ascii="仿宋" w:hAnsi="仿宋" w:eastAsia="仿宋" w:cs="仿宋"/>
          <w:b/>
          <w:bCs/>
          <w:color w:val="auto"/>
          <w:sz w:val="24"/>
          <w:szCs w:val="24"/>
          <w:highlight w:val="none"/>
        </w:rPr>
        <w:t>十二.争议解决：</w:t>
      </w:r>
      <w:bookmarkEnd w:id="115"/>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12.1本合同发生争议，由双方协商或调解解决，协商或调解不成时可以向甲方所在地人民法院起诉。</w:t>
      </w:r>
      <w:bookmarkStart w:id="116" w:name="_Toc81879422"/>
    </w:p>
    <w:p>
      <w:pPr>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十三.合同构成：</w:t>
      </w:r>
      <w:bookmarkEnd w:id="116"/>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13.1下述文件是构成合同不可分割的部分，具有同等的法律效力，应一并阅读和理解。</w:t>
      </w:r>
    </w:p>
    <w:p>
      <w:pPr>
        <w:numPr>
          <w:ilvl w:val="0"/>
          <w:numId w:val="9"/>
        </w:numPr>
        <w:spacing w:line="360" w:lineRule="auto"/>
        <w:ind w:left="570" w:hanging="36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本合同协议书；</w:t>
      </w:r>
    </w:p>
    <w:p>
      <w:pPr>
        <w:numPr>
          <w:ilvl w:val="0"/>
          <w:numId w:val="9"/>
        </w:numPr>
        <w:spacing w:line="360" w:lineRule="auto"/>
        <w:ind w:left="570" w:hanging="36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中标通知书；</w:t>
      </w:r>
    </w:p>
    <w:p>
      <w:pPr>
        <w:numPr>
          <w:ilvl w:val="0"/>
          <w:numId w:val="9"/>
        </w:numPr>
        <w:spacing w:line="360" w:lineRule="auto"/>
        <w:ind w:left="570" w:hanging="36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采购文件及附件；</w:t>
      </w:r>
    </w:p>
    <w:p>
      <w:pPr>
        <w:numPr>
          <w:ilvl w:val="0"/>
          <w:numId w:val="9"/>
        </w:numPr>
        <w:spacing w:line="360" w:lineRule="auto"/>
        <w:ind w:left="570" w:hanging="36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投标文件及附件；</w:t>
      </w:r>
    </w:p>
    <w:p>
      <w:pPr>
        <w:numPr>
          <w:ilvl w:val="0"/>
          <w:numId w:val="9"/>
        </w:numPr>
        <w:spacing w:line="360" w:lineRule="auto"/>
        <w:ind w:left="570" w:hanging="36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经双方协商一致达成的补充协议。</w:t>
      </w:r>
    </w:p>
    <w:p>
      <w:pPr>
        <w:tabs>
          <w:tab w:val="left" w:pos="3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13.2上述文件应认为是互为补充和解释的，若有不明确及不一致之处，以上面所列顺序在前及时间在后者为准。</w:t>
      </w:r>
      <w:bookmarkStart w:id="117" w:name="_Toc81879423"/>
    </w:p>
    <w:p>
      <w:pPr>
        <w:tabs>
          <w:tab w:val="left" w:pos="360"/>
        </w:tabs>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十四.合同数量：</w:t>
      </w:r>
      <w:bookmarkEnd w:id="117"/>
    </w:p>
    <w:p>
      <w:pPr>
        <w:tabs>
          <w:tab w:val="left" w:pos="3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本合同一式四份，具有同等法律效力，甲方、乙方各执二份。</w:t>
      </w:r>
      <w:bookmarkStart w:id="118" w:name="_Toc81879424"/>
    </w:p>
    <w:p>
      <w:pPr>
        <w:tabs>
          <w:tab w:val="left" w:pos="360"/>
        </w:tabs>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十五.合同未尽事宜：</w:t>
      </w:r>
      <w:bookmarkEnd w:id="118"/>
    </w:p>
    <w:p>
      <w:pPr>
        <w:tabs>
          <w:tab w:val="left" w:pos="360"/>
        </w:tabs>
        <w:spacing w:line="360" w:lineRule="auto"/>
        <w:rPr>
          <w:rFonts w:ascii="仿宋" w:hAnsi="仿宋" w:eastAsia="仿宋" w:cs="仿宋"/>
          <w:color w:val="auto"/>
          <w:sz w:val="28"/>
          <w:szCs w:val="28"/>
          <w:highlight w:val="none"/>
        </w:rPr>
      </w:pPr>
      <w:r>
        <w:rPr>
          <w:rFonts w:hint="eastAsia" w:ascii="仿宋" w:hAnsi="仿宋" w:eastAsia="仿宋" w:cs="仿宋"/>
          <w:color w:val="auto"/>
          <w:sz w:val="24"/>
          <w:szCs w:val="24"/>
          <w:highlight w:val="none"/>
        </w:rPr>
        <w:t>合同中未尽事宜，甲乙双方应友好协商，按国家有关法律、法规执行。</w:t>
      </w:r>
    </w:p>
    <w:p>
      <w:pPr>
        <w:spacing w:line="360" w:lineRule="auto"/>
        <w:rPr>
          <w:rFonts w:ascii="仿宋" w:hAnsi="仿宋" w:eastAsia="仿宋" w:cs="仿宋"/>
          <w:bCs/>
          <w:color w:val="auto"/>
          <w:sz w:val="24"/>
          <w:szCs w:val="24"/>
          <w:highlight w:val="none"/>
        </w:rPr>
      </w:pPr>
      <w:r>
        <w:rPr>
          <w:rFonts w:hint="eastAsia" w:ascii="仿宋" w:hAnsi="仿宋" w:eastAsia="仿宋" w:cs="仿宋"/>
          <w:color w:val="auto"/>
          <w:sz w:val="24"/>
          <w:szCs w:val="24"/>
          <w:highlight w:val="none"/>
        </w:rPr>
        <w:t>甲方（盖章）：                         乙方（盖章）：</w:t>
      </w:r>
    </w:p>
    <w:p>
      <w:pPr>
        <w:tabs>
          <w:tab w:val="left" w:pos="4938"/>
          <w:tab w:val="left" w:pos="5208"/>
        </w:tabs>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法定代表人（签字或盖章）：             法定代表人（签字或盖章）：                                 </w:t>
      </w:r>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或委托代理人（签字或盖章）：           或 委托代理人（签字或盖章）：</w:t>
      </w:r>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签订日期：                             签订日期：</w:t>
      </w:r>
    </w:p>
    <w:p>
      <w:pPr>
        <w:pStyle w:val="40"/>
        <w:widowControl/>
        <w:jc w:val="left"/>
        <w:rPr>
          <w:rFonts w:ascii="仿宋" w:hAnsi="仿宋" w:eastAsia="仿宋" w:cs="仿宋"/>
          <w:b/>
          <w:bCs/>
          <w:color w:val="auto"/>
          <w:sz w:val="44"/>
          <w:szCs w:val="20"/>
          <w:highlight w:val="none"/>
        </w:rPr>
      </w:pPr>
    </w:p>
    <w:p>
      <w:pPr>
        <w:adjustRightInd w:val="0"/>
        <w:ind w:firstLine="960" w:firstLineChars="400"/>
        <w:jc w:val="left"/>
        <w:textAlignment w:val="baseline"/>
        <w:rPr>
          <w:rFonts w:ascii="仿宋" w:hAnsi="仿宋" w:eastAsia="仿宋" w:cs="仿宋"/>
          <w:color w:val="auto"/>
          <w:sz w:val="24"/>
          <w:szCs w:val="24"/>
          <w:highlight w:val="none"/>
        </w:rPr>
      </w:pPr>
    </w:p>
    <w:p>
      <w:pPr>
        <w:spacing w:line="360" w:lineRule="auto"/>
        <w:ind w:firstLine="640" w:firstLineChars="200"/>
        <w:rPr>
          <w:rFonts w:ascii="仿宋" w:hAnsi="仿宋" w:eastAsia="仿宋" w:cs="仿宋"/>
          <w:color w:val="auto"/>
          <w:sz w:val="32"/>
          <w:szCs w:val="32"/>
          <w:highlight w:val="none"/>
        </w:rPr>
      </w:pPr>
    </w:p>
    <w:p>
      <w:pPr>
        <w:pStyle w:val="2"/>
        <w:ind w:firstLine="640"/>
        <w:rPr>
          <w:rFonts w:ascii="仿宋" w:hAnsi="仿宋" w:eastAsia="仿宋" w:cs="仿宋"/>
          <w:color w:val="auto"/>
          <w:sz w:val="32"/>
          <w:szCs w:val="32"/>
          <w:highlight w:val="none"/>
        </w:rPr>
      </w:pPr>
    </w:p>
    <w:p>
      <w:pPr>
        <w:pStyle w:val="2"/>
        <w:ind w:firstLine="640"/>
        <w:rPr>
          <w:rFonts w:ascii="仿宋" w:hAnsi="仿宋" w:eastAsia="仿宋" w:cs="仿宋"/>
          <w:color w:val="auto"/>
          <w:sz w:val="32"/>
          <w:szCs w:val="32"/>
          <w:highlight w:val="none"/>
        </w:rPr>
      </w:pPr>
    </w:p>
    <w:p>
      <w:pPr>
        <w:rPr>
          <w:rFonts w:ascii="仿宋" w:hAnsi="仿宋" w:eastAsia="仿宋" w:cs="仿宋"/>
          <w:color w:val="auto"/>
          <w:highlight w:val="none"/>
        </w:rPr>
      </w:pPr>
    </w:p>
    <w:p>
      <w:pPr>
        <w:widowControl/>
        <w:jc w:val="center"/>
        <w:rPr>
          <w:rFonts w:hint="eastAsia" w:ascii="仿宋" w:hAnsi="仿宋" w:eastAsia="仿宋" w:cs="仿宋"/>
          <w:b/>
          <w:bCs/>
          <w:color w:val="auto"/>
          <w:sz w:val="44"/>
          <w:szCs w:val="20"/>
          <w:highlight w:val="none"/>
        </w:rPr>
      </w:pPr>
    </w:p>
    <w:p>
      <w:pPr>
        <w:widowControl/>
        <w:jc w:val="center"/>
        <w:rPr>
          <w:rFonts w:ascii="仿宋" w:hAnsi="仿宋" w:eastAsia="仿宋" w:cs="仿宋"/>
          <w:color w:val="auto"/>
          <w:sz w:val="22"/>
          <w:szCs w:val="22"/>
          <w:highlight w:val="none"/>
        </w:rPr>
      </w:pPr>
      <w:r>
        <w:rPr>
          <w:rFonts w:hint="eastAsia" w:ascii="仿宋" w:hAnsi="仿宋" w:eastAsia="仿宋" w:cs="仿宋"/>
          <w:b/>
          <w:bCs/>
          <w:color w:val="auto"/>
          <w:sz w:val="44"/>
          <w:szCs w:val="20"/>
          <w:highlight w:val="none"/>
        </w:rPr>
        <w:t>第四章 项目需求</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推进低效用地再开发是贯彻落实新发展理念，落实最严格的节约集约用地制度和资源高效利用制度、优化土地资源配置效能的重要举措，是推进城市更新和美丽宜居城乡建设、促进城乡融合发展的有效途径。为了规范有序落实做好低效用地再开发工作，切实提高土地资源要素配置和产出效益并优化空间布局，更高水平推进“十四五”时期我区低效用地再开发工作，根据江苏省自然资源厅《关于开展“十四五”时期城乡低效用地调查入库工作的通知》（苏自然资办函〔2021〕472号）、《关于开展全省低效用地再开发“十四五”专项规划和年度实施计划编制工作的通知》（苏自然资发〔2021〕166号）等有关文件要求，现开展苏锡通园区低效用地再开发“十四五”专项规划和年度实施计划编制工作采购项目。</w:t>
      </w:r>
    </w:p>
    <w:p>
      <w:pPr>
        <w:numPr>
          <w:ilvl w:val="0"/>
          <w:numId w:val="10"/>
        </w:numPr>
        <w:tabs>
          <w:tab w:val="left" w:pos="360"/>
        </w:tabs>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总体要求</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根据《江苏省低效用地再开发调查入库技术要点（试行）》开展完成的低效用地调查数据库成果为基础，编制苏锡通园区低效用地再开发“十四五”专项规划和年度实施计划编制工作采购项目，落实“十四五”期间低效用地再开发任务，完善低效用地再开发政策体系，提高土地利用节地水平和产出效益。</w:t>
      </w:r>
    </w:p>
    <w:p>
      <w:pPr>
        <w:numPr>
          <w:ilvl w:val="0"/>
          <w:numId w:val="10"/>
        </w:numPr>
        <w:tabs>
          <w:tab w:val="left" w:pos="360"/>
        </w:tabs>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基本原则</w:t>
      </w:r>
    </w:p>
    <w:p>
      <w:pPr>
        <w:numPr>
          <w:ilvl w:val="0"/>
          <w:numId w:val="11"/>
        </w:num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坚持政府引导，市场配置。建立完善政府引导、部门协同、公众参与的工作机制。坚持国土空间规划管控，更好发挥政府作用，加强统筹协调，完善监管服务。充分发挥市场配置资源的决定性作用，充分运用市场机制，增强土地权利人、社会力量再开发动力。</w:t>
      </w:r>
    </w:p>
    <w:p>
      <w:pPr>
        <w:numPr>
          <w:ilvl w:val="0"/>
          <w:numId w:val="11"/>
        </w:num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坚持利益共享、多方共赢。健全收益分配机制，兼顾公众、土地权利人等市场主体利益，促进产业转型升级、城市更新发展、人居环境改善、历史文化传承、生态环境保护共赢。</w:t>
      </w:r>
    </w:p>
    <w:p>
      <w:pPr>
        <w:numPr>
          <w:ilvl w:val="0"/>
          <w:numId w:val="11"/>
        </w:num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坚持因地制宜，循序渐进。充分考虑社会经济发展水平、城市定位，尊重土地权利人意愿诉求，合理确定再开发目标，因地制宜、循序渐进、拆改结合、规范运作。坚持系统化思考、均衡化发展、精细化管理，推动区域范围内目标综合、项目集成、资源整合、效益提升。</w:t>
      </w:r>
    </w:p>
    <w:p>
      <w:pPr>
        <w:numPr>
          <w:ilvl w:val="0"/>
          <w:numId w:val="11"/>
        </w:num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坚持产业导向，分类引导。实行差别化政策支持，完善低效工业用地用途合理转换机制，激发企业转型升级内生动力，有效保障制造业发展空间。坚持绿色低碳理念，鼓励绿色节能改造，助力碳达峰、碳中和，注重功能转换和效益提升，满足城乡发展多元化需求。</w:t>
      </w:r>
    </w:p>
    <w:p>
      <w:pPr>
        <w:numPr>
          <w:ilvl w:val="0"/>
          <w:numId w:val="10"/>
        </w:numPr>
        <w:tabs>
          <w:tab w:val="left" w:pos="360"/>
        </w:tabs>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低效用地再开发专项规划工作内容</w:t>
      </w:r>
    </w:p>
    <w:p>
      <w:pPr>
        <w:numPr>
          <w:ilvl w:val="0"/>
          <w:numId w:val="12"/>
        </w:num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规划范围和期限。规划范围应为低效用地专项调查数据库范围内的存量建设用地；规划期限为2021年至2025年，规划基期年2020年，规划目标年2025年。</w:t>
      </w:r>
    </w:p>
    <w:p>
      <w:pPr>
        <w:numPr>
          <w:ilvl w:val="0"/>
          <w:numId w:val="12"/>
        </w:num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基础数据。采用第三次国土调查数据及对应时点的遥感影像数据；采用的人口、社会经济数据应以国家和地方统计部门发布的数据为准，与人口普查、经济普查等成果数据一致；各类基础数据应明确口径和来源，统一使用法定的计量单位等。</w:t>
      </w:r>
    </w:p>
    <w:p>
      <w:pPr>
        <w:numPr>
          <w:ilvl w:val="0"/>
          <w:numId w:val="12"/>
        </w:num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规划编制内容。包括进行低效用地再开发现状分析、潜力测算、确定规划期内低效用地再开发规划目标、优化低效用地再开发空间、优化土地开发强度、安排低效用地再开发时序、进行规划实施效益评价并制定相关保障措施。</w:t>
      </w:r>
    </w:p>
    <w:p>
      <w:pPr>
        <w:numPr>
          <w:ilvl w:val="0"/>
          <w:numId w:val="12"/>
        </w:num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建立低效用地再开发规划数据库。完成包括规划文本、规划说明、规划表格、规划图件、规划矢量图层在内的低效用地再开发规划数据库。</w:t>
      </w:r>
    </w:p>
    <w:p>
      <w:pPr>
        <w:numPr>
          <w:ilvl w:val="0"/>
          <w:numId w:val="12"/>
        </w:num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按程序完成低效用地再开发规划成果的论证、公示、审批和报备工作。</w:t>
      </w:r>
    </w:p>
    <w:p>
      <w:pPr>
        <w:numPr>
          <w:ilvl w:val="0"/>
          <w:numId w:val="10"/>
        </w:numPr>
        <w:tabs>
          <w:tab w:val="left" w:pos="360"/>
        </w:tabs>
        <w:spacing w:line="360" w:lineRule="auto"/>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低效用地再开发年度实施计划工作内容</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规划范围和期限。已纳入低效用再开发调查数据库成果和低效用地再开发规划成果、符合国土空间规划、土地权利人再开发意愿强、已征得再开发项目涉及利益群体同意的低效用地，可列入年度实施计划范围。以政府收购储备方式进行低效用地再开发的，还应符合地方土地储备年度计划。</w:t>
      </w:r>
    </w:p>
    <w:p>
      <w:pPr>
        <w:numPr>
          <w:ilvl w:val="0"/>
          <w:numId w:val="8"/>
        </w:num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确定年度目标和任务。依据低效用地再开发规划目标年任务量，在满足地方基础设施、公共设施、公益事业等配套设施用地前提下，合理确定年度再开发完成的任务。</w:t>
      </w:r>
    </w:p>
    <w:p>
      <w:pPr>
        <w:numPr>
          <w:ilvl w:val="0"/>
          <w:numId w:val="8"/>
        </w:num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确定再开发方式和再开发方向。支持各类主体参与再开发，分项目确定低效用地再开发主体；因地制宜确定再开发方式，包括：收购储备、实施流转、协议置换、增容技改等。同时，应与城市更新等详细规划内容结合，明确低效用地年度实施地块的再开发方向，合理确定各再开发单元的容积率、土地用途、建筑密度等开发强度控制要求；重点分析调整方向与国土空间规划和产业布局规划协调情况。</w:t>
      </w:r>
    </w:p>
    <w:p>
      <w:pPr>
        <w:numPr>
          <w:ilvl w:val="0"/>
          <w:numId w:val="8"/>
        </w:num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按要求报备年度实施计划。年度实施计划编制成果包括文档成果、图件成果和附件。将年度实施计划相关数据录入省级低效用地再开发管理信息系统。</w:t>
      </w:r>
    </w:p>
    <w:p>
      <w:pPr>
        <w:tabs>
          <w:tab w:val="left" w:pos="360"/>
        </w:tabs>
        <w:spacing w:line="360" w:lineRule="auto"/>
        <w:ind w:firstLine="480"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（五）成果要求</w:t>
      </w:r>
    </w:p>
    <w:p>
      <w:pPr>
        <w:pStyle w:val="92"/>
        <w:snapToGrid w:val="0"/>
        <w:spacing w:line="360" w:lineRule="auto"/>
        <w:ind w:firstLine="480" w:firstLineChars="200"/>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（1）低效用地再开发专项规划成果要求</w:t>
      </w:r>
    </w:p>
    <w:p>
      <w:pPr>
        <w:pStyle w:val="92"/>
        <w:snapToGrid w:val="0"/>
        <w:spacing w:line="360" w:lineRule="auto"/>
        <w:ind w:firstLine="480" w:firstLineChars="200"/>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规划成果包括文档成果（规划文本、规划说明）、图件成果、表格成果、数据库成果和其他成果。除纸质形式外，规划成果按照汇交要求，形成相关电子数据，并将规划数据录入低效用地再开发管理信息系统。</w:t>
      </w:r>
    </w:p>
    <w:p>
      <w:pPr>
        <w:pStyle w:val="92"/>
        <w:snapToGrid w:val="0"/>
        <w:spacing w:line="360" w:lineRule="auto"/>
        <w:ind w:firstLine="480" w:firstLineChars="200"/>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1.1、 规划文本。</w:t>
      </w:r>
    </w:p>
    <w:p>
      <w:pPr>
        <w:pStyle w:val="92"/>
        <w:snapToGrid w:val="0"/>
        <w:spacing w:line="360" w:lineRule="auto"/>
        <w:ind w:firstLine="480" w:firstLineChars="200"/>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规划文本一般包含以下内容：1）总则；2）区域概况；3）低效用地现状及潜力分析；4）规划目标及任务；5）低效用地再开发空间布局、用地结构和土地利用强度优化；6）再开发时序安排；7）资金筹措和利益分配；8）规划实施效益评价；9）保障措施；10）文本附表。</w:t>
      </w:r>
    </w:p>
    <w:p>
      <w:pPr>
        <w:pStyle w:val="92"/>
        <w:snapToGrid w:val="0"/>
        <w:spacing w:line="360" w:lineRule="auto"/>
        <w:ind w:firstLine="480" w:firstLineChars="200"/>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1.2、图件成果。</w:t>
      </w:r>
    </w:p>
    <w:p>
      <w:pPr>
        <w:pStyle w:val="92"/>
        <w:snapToGrid w:val="0"/>
        <w:spacing w:line="360" w:lineRule="auto"/>
        <w:ind w:firstLine="480" w:firstLineChars="200"/>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规划图件应内容表达全面、清晰，并和规划文本内容及相关数据保持一致。规划图件包括：1）低效用地现状分布图；2）低效用地再开发规划图；3）低效用地再开发强度引导图；4）低效用地再开发建设时序图；5）其它区位及与相关规划协调图等。</w:t>
      </w:r>
    </w:p>
    <w:p>
      <w:pPr>
        <w:pStyle w:val="92"/>
        <w:snapToGrid w:val="0"/>
        <w:spacing w:line="360" w:lineRule="auto"/>
        <w:ind w:firstLine="480" w:firstLineChars="200"/>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1.3、规划说明</w:t>
      </w:r>
    </w:p>
    <w:p>
      <w:pPr>
        <w:pStyle w:val="92"/>
        <w:snapToGrid w:val="0"/>
        <w:spacing w:line="360" w:lineRule="auto"/>
        <w:ind w:firstLine="480" w:firstLineChars="200"/>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规划说明主要阐述规划决策的依据和过程，是规划实施中规划文本使用的主要参考。一般包含以下内容：1）规划编制背景形势分析；2）规划编制过程：3）上轮规划实施情况；4）基础数据收集和分析；5）低效用地认定过程；6）低效用地现状及再开发潜力分析过程；7）规划目标与任务落实；8）与相关规划的衔接情况；9）征求意见情况；10）规划实施的可行性分析；11）规划实施社会稳定性风险评估；12）需说明的其他事项等。</w:t>
      </w:r>
    </w:p>
    <w:p>
      <w:pPr>
        <w:pStyle w:val="92"/>
        <w:snapToGrid w:val="0"/>
        <w:spacing w:line="360" w:lineRule="auto"/>
        <w:ind w:firstLine="480" w:firstLineChars="200"/>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1.4、数据库成果</w:t>
      </w:r>
    </w:p>
    <w:p>
      <w:pPr>
        <w:pStyle w:val="92"/>
        <w:snapToGrid w:val="0"/>
        <w:spacing w:line="360" w:lineRule="auto"/>
        <w:ind w:firstLine="480" w:firstLineChars="200"/>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数据库成果为苏锡通园区低效用地再开发专项规划成果数据的电子形式，包括规划文档、规划图件的矢量数据和栅格数据、规划表格、元数据等。</w:t>
      </w:r>
    </w:p>
    <w:p>
      <w:pPr>
        <w:pStyle w:val="92"/>
        <w:snapToGrid w:val="0"/>
        <w:spacing w:line="360" w:lineRule="auto"/>
        <w:ind w:firstLine="480" w:firstLineChars="200"/>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1.5、其他材料</w:t>
      </w:r>
    </w:p>
    <w:p>
      <w:pPr>
        <w:pStyle w:val="92"/>
        <w:snapToGrid w:val="0"/>
        <w:spacing w:line="360" w:lineRule="auto"/>
        <w:ind w:firstLine="480" w:firstLineChars="200"/>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主要包括：其他材料包括规划编制过程中形成的工作报告、专题研究报告、会议纪要、部门意见、专家论证意见等。</w:t>
      </w:r>
    </w:p>
    <w:p>
      <w:pPr>
        <w:pStyle w:val="92"/>
        <w:snapToGrid w:val="0"/>
        <w:spacing w:line="360" w:lineRule="auto"/>
        <w:ind w:firstLine="480" w:firstLineChars="200"/>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（2）低效用地再开发年度实施计划成果要求</w:t>
      </w:r>
    </w:p>
    <w:p>
      <w:pPr>
        <w:pStyle w:val="92"/>
        <w:snapToGrid w:val="0"/>
        <w:spacing w:line="360" w:lineRule="auto"/>
        <w:ind w:firstLine="480" w:firstLineChars="200"/>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年度实施计划编制成果包括文档成果、图件成果和附件。除纸质形式外，计划成果按照汇交要求，形成相关电子数据，并将年度实施计划相关数据录入低效用地再开发管理信息系统。</w:t>
      </w:r>
    </w:p>
    <w:p>
      <w:pPr>
        <w:pStyle w:val="92"/>
        <w:snapToGrid w:val="0"/>
        <w:spacing w:line="360" w:lineRule="auto"/>
        <w:ind w:firstLine="480" w:firstLineChars="200"/>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2.1、文档成果</w:t>
      </w:r>
    </w:p>
    <w:p>
      <w:pPr>
        <w:pStyle w:val="92"/>
        <w:snapToGrid w:val="0"/>
        <w:spacing w:line="360" w:lineRule="auto"/>
        <w:ind w:firstLine="480" w:firstLineChars="200"/>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年度实施计划文档成果主要为年度实施计划文本，一般包含以下内容：</w:t>
      </w:r>
    </w:p>
    <w:p>
      <w:pPr>
        <w:pStyle w:val="92"/>
        <w:snapToGrid w:val="0"/>
        <w:spacing w:line="360" w:lineRule="auto"/>
        <w:ind w:firstLine="480" w:firstLineChars="200"/>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1）总则；2）年度目标与任务；3）再开发思路与方式；4）再开发方向；5）安置补偿方案；6）再开发进度安排；7）费用估算及资金筹措计划；8）计划实施评价；9）实施保障措施；10）计划文本附表。</w:t>
      </w:r>
    </w:p>
    <w:p>
      <w:pPr>
        <w:pStyle w:val="92"/>
        <w:snapToGrid w:val="0"/>
        <w:spacing w:line="360" w:lineRule="auto"/>
        <w:ind w:firstLine="480" w:firstLineChars="200"/>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2.2、图件成果</w:t>
      </w:r>
    </w:p>
    <w:p>
      <w:pPr>
        <w:pStyle w:val="92"/>
        <w:snapToGrid w:val="0"/>
        <w:spacing w:line="360" w:lineRule="auto"/>
        <w:ind w:firstLine="480" w:firstLineChars="200"/>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图件成果一般包含以下内容：1）年度低效用地再开发项目位置示意图；2）年度低效用地再开发项目规划图</w:t>
      </w:r>
    </w:p>
    <w:p>
      <w:pPr>
        <w:pStyle w:val="92"/>
        <w:snapToGrid w:val="0"/>
        <w:spacing w:line="360" w:lineRule="auto"/>
        <w:ind w:firstLine="480" w:firstLineChars="200"/>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2.3、附件</w:t>
      </w:r>
    </w:p>
    <w:p>
      <w:pPr>
        <w:pStyle w:val="92"/>
        <w:snapToGrid w:val="0"/>
        <w:spacing w:line="360" w:lineRule="auto"/>
        <w:ind w:firstLine="480" w:firstLineChars="200"/>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其他相关材料。</w:t>
      </w:r>
    </w:p>
    <w:p>
      <w:pPr>
        <w:pStyle w:val="92"/>
        <w:snapToGrid w:val="0"/>
        <w:spacing w:line="360" w:lineRule="auto"/>
        <w:ind w:firstLine="480"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（六）履约保证金</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本项目履约保证金为合同价的10%，成交供应商的履约保证金可以以转账、支票、汇票、本票、保函等非现金形式缴纳，于本项目结束并验收合格后无息退还。</w:t>
      </w:r>
    </w:p>
    <w:p>
      <w:pPr>
        <w:pStyle w:val="21"/>
        <w:spacing w:after="0" w:line="360" w:lineRule="auto"/>
        <w:ind w:left="0" w:leftChars="0" w:firstLine="482"/>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注明：对政府采购信用档案中无不良记录的中小企业免收履约保证金。</w:t>
      </w:r>
    </w:p>
    <w:p>
      <w:pPr>
        <w:pStyle w:val="21"/>
        <w:spacing w:after="0" w:line="360" w:lineRule="auto"/>
        <w:ind w:left="0" w:leftChars="0" w:firstLine="240" w:firstLineChars="1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（七）付款方式</w:t>
      </w:r>
    </w:p>
    <w:p>
      <w:pPr>
        <w:tabs>
          <w:tab w:val="left" w:pos="360"/>
        </w:tabs>
        <w:spacing w:line="360" w:lineRule="auto"/>
        <w:ind w:firstLine="480" w:firstLineChars="200"/>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b/>
          <w:color w:val="auto"/>
          <w:sz w:val="24"/>
          <w:szCs w:val="24"/>
          <w:highlight w:val="none"/>
        </w:rPr>
        <w:t>合同签订后一周内支付合同价的10%。</w:t>
      </w:r>
    </w:p>
    <w:p>
      <w:pPr>
        <w:tabs>
          <w:tab w:val="left" w:pos="360"/>
        </w:tabs>
        <w:spacing w:line="360" w:lineRule="auto"/>
        <w:ind w:firstLine="480"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（2）十四五时期低效用地再开发专项规划方案及2021-2022年度实施计划的编制的费用，待成果通过江苏省自然资源厅审查合格及备案后，2022年底一次性付清；2022年底结算的费用，扣除签订合同时10%的预付款。</w:t>
      </w:r>
    </w:p>
    <w:p>
      <w:pPr>
        <w:tabs>
          <w:tab w:val="left" w:pos="360"/>
        </w:tabs>
        <w:spacing w:line="360" w:lineRule="auto"/>
        <w:ind w:firstLine="480"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（3）2023-2025每年度编制的年度实施计划通过江苏省自然资源厅备案后，费用于当年年底一次性清（以上均不计息）。</w:t>
      </w:r>
    </w:p>
    <w:p>
      <w:pPr>
        <w:snapToGrid w:val="0"/>
        <w:spacing w:line="360" w:lineRule="auto"/>
        <w:ind w:firstLine="480" w:firstLineChars="200"/>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注明：签订合同时，供应商明确表示无需预付款或者主动要求降低预付款比例的，采购人不适用上述规定。</w:t>
      </w:r>
    </w:p>
    <w:p>
      <w:pPr>
        <w:snapToGrid w:val="0"/>
        <w:spacing w:line="360" w:lineRule="auto"/>
        <w:ind w:firstLine="480" w:firstLineChars="200"/>
        <w:jc w:val="lef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（八）验收要求</w:t>
      </w:r>
    </w:p>
    <w:p>
      <w:pPr>
        <w:snapToGrid w:val="0"/>
        <w:spacing w:line="360" w:lineRule="auto"/>
        <w:ind w:firstLine="480" w:firstLineChars="200"/>
        <w:jc w:val="lef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要求严格按照《江苏省低效用地再开发专项规划和年度实施计划编制指南（试行版）》，项目完成后通过省厅备案。</w:t>
      </w:r>
    </w:p>
    <w:p>
      <w:pPr>
        <w:spacing w:line="360" w:lineRule="auto"/>
        <w:ind w:firstLine="800" w:firstLineChars="200"/>
        <w:rPr>
          <w:rFonts w:ascii="仿宋" w:hAnsi="仿宋" w:eastAsia="仿宋" w:cs="仿宋"/>
          <w:b/>
          <w:bCs/>
          <w:color w:val="auto"/>
          <w:sz w:val="40"/>
          <w:szCs w:val="40"/>
          <w:highlight w:val="none"/>
        </w:rPr>
      </w:pPr>
      <w:r>
        <w:rPr>
          <w:rFonts w:hint="eastAsia" w:ascii="仿宋" w:hAnsi="仿宋" w:eastAsia="仿宋" w:cs="仿宋"/>
          <w:b/>
          <w:bCs/>
          <w:color w:val="auto"/>
          <w:sz w:val="40"/>
          <w:szCs w:val="40"/>
          <w:highlight w:val="none"/>
        </w:rPr>
        <w:br w:type="page"/>
      </w:r>
    </w:p>
    <w:p>
      <w:pPr>
        <w:widowControl/>
        <w:ind w:firstLine="2560" w:firstLineChars="800"/>
        <w:jc w:val="left"/>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第五章   资格审查</w:t>
      </w:r>
    </w:p>
    <w:tbl>
      <w:tblPr>
        <w:tblStyle w:val="22"/>
        <w:tblW w:w="10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896"/>
        <w:gridCol w:w="3073"/>
        <w:gridCol w:w="5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12" w:type="dxa"/>
            <w:gridSpan w:val="2"/>
            <w:vAlign w:val="center"/>
          </w:tcPr>
          <w:p>
            <w:pPr>
              <w:spacing w:line="360" w:lineRule="auto"/>
              <w:jc w:val="center"/>
              <w:rPr>
                <w:rFonts w:ascii="仿宋" w:hAnsi="仿宋" w:eastAsia="仿宋" w:cs="仿宋"/>
                <w:b/>
                <w:bCs/>
                <w:color w:val="auto"/>
                <w:sz w:val="24"/>
                <w:szCs w:val="24"/>
                <w:highlight w:val="none"/>
              </w:rPr>
            </w:pPr>
            <w:bookmarkStart w:id="119" w:name="OLE_LINK9"/>
            <w:r>
              <w:rPr>
                <w:rFonts w:hint="eastAsia" w:ascii="仿宋" w:hAnsi="仿宋" w:eastAsia="仿宋" w:cs="仿宋"/>
                <w:b/>
                <w:bCs/>
                <w:color w:val="auto"/>
                <w:sz w:val="24"/>
                <w:szCs w:val="24"/>
                <w:highlight w:val="none"/>
              </w:rPr>
              <w:t>条款号</w:t>
            </w:r>
          </w:p>
        </w:tc>
        <w:tc>
          <w:tcPr>
            <w:tcW w:w="3073" w:type="dxa"/>
            <w:tcBorders>
              <w:left w:val="nil"/>
            </w:tcBorders>
            <w:vAlign w:val="center"/>
          </w:tcPr>
          <w:p>
            <w:pPr>
              <w:spacing w:line="360" w:lineRule="auto"/>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评审因素</w:t>
            </w:r>
          </w:p>
        </w:tc>
        <w:tc>
          <w:tcPr>
            <w:tcW w:w="5388" w:type="dxa"/>
            <w:tcBorders>
              <w:left w:val="nil"/>
            </w:tcBorders>
            <w:vAlign w:val="center"/>
          </w:tcPr>
          <w:p>
            <w:pPr>
              <w:spacing w:line="360" w:lineRule="auto"/>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16" w:type="dxa"/>
            <w:vMerge w:val="restart"/>
            <w:tcBorders>
              <w:top w:val="nil"/>
            </w:tcBorders>
            <w:vAlign w:val="center"/>
          </w:tcPr>
          <w:p>
            <w:pPr>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2.1.1</w:t>
            </w:r>
          </w:p>
        </w:tc>
        <w:tc>
          <w:tcPr>
            <w:tcW w:w="896" w:type="dxa"/>
            <w:vMerge w:val="restart"/>
            <w:tcBorders>
              <w:top w:val="nil"/>
              <w:left w:val="nil"/>
            </w:tcBorders>
            <w:vAlign w:val="center"/>
          </w:tcPr>
          <w:p>
            <w:pPr>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形式评审标准</w:t>
            </w:r>
          </w:p>
        </w:tc>
        <w:tc>
          <w:tcPr>
            <w:tcW w:w="3073" w:type="dxa"/>
            <w:tcBorders>
              <w:left w:val="nil"/>
            </w:tcBorders>
            <w:vAlign w:val="center"/>
          </w:tcPr>
          <w:p>
            <w:pPr>
              <w:spacing w:line="360" w:lineRule="auto"/>
              <w:ind w:firstLine="12" w:firstLineChars="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磋商供应商名称</w:t>
            </w:r>
          </w:p>
        </w:tc>
        <w:tc>
          <w:tcPr>
            <w:tcW w:w="5388" w:type="dxa"/>
            <w:tcBorders>
              <w:left w:val="nil"/>
            </w:tcBorders>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磋商供应商名称与营业执照；不一致的，提供有效证明材料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816" w:type="dxa"/>
            <w:vMerge w:val="continue"/>
            <w:tcBorders>
              <w:top w:val="nil"/>
            </w:tcBorders>
            <w:vAlign w:val="center"/>
          </w:tcPr>
          <w:p>
            <w:pPr>
              <w:widowControl/>
              <w:spacing w:line="360" w:lineRule="auto"/>
              <w:jc w:val="left"/>
              <w:rPr>
                <w:rFonts w:ascii="仿宋" w:hAnsi="仿宋" w:eastAsia="仿宋" w:cs="仿宋"/>
                <w:color w:val="auto"/>
                <w:sz w:val="24"/>
                <w:szCs w:val="24"/>
                <w:highlight w:val="none"/>
              </w:rPr>
            </w:pPr>
          </w:p>
        </w:tc>
        <w:tc>
          <w:tcPr>
            <w:tcW w:w="896" w:type="dxa"/>
            <w:vMerge w:val="continue"/>
            <w:tcBorders>
              <w:top w:val="nil"/>
              <w:left w:val="nil"/>
            </w:tcBorders>
            <w:vAlign w:val="center"/>
          </w:tcPr>
          <w:p>
            <w:pPr>
              <w:widowControl/>
              <w:spacing w:line="360" w:lineRule="auto"/>
              <w:jc w:val="left"/>
              <w:rPr>
                <w:rFonts w:ascii="仿宋" w:hAnsi="仿宋" w:eastAsia="仿宋" w:cs="仿宋"/>
                <w:color w:val="auto"/>
                <w:sz w:val="24"/>
                <w:szCs w:val="24"/>
                <w:highlight w:val="none"/>
              </w:rPr>
            </w:pPr>
          </w:p>
        </w:tc>
        <w:tc>
          <w:tcPr>
            <w:tcW w:w="3073" w:type="dxa"/>
            <w:tcBorders>
              <w:left w:val="nil"/>
            </w:tcBorders>
            <w:vAlign w:val="center"/>
          </w:tcPr>
          <w:p>
            <w:pPr>
              <w:spacing w:line="360" w:lineRule="auto"/>
              <w:ind w:firstLine="12" w:firstLineChars="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磋商文件签字盖章</w:t>
            </w:r>
          </w:p>
        </w:tc>
        <w:tc>
          <w:tcPr>
            <w:tcW w:w="5388" w:type="dxa"/>
            <w:tcBorders>
              <w:left w:val="nil"/>
            </w:tcBorders>
            <w:vAlign w:val="center"/>
          </w:tcPr>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加盖磋商供应商公章和企业法定代表人（或企业法定代表人委托代理人）印章（或签字）。委托代理人有合法、有效的委托书（原件）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816" w:type="dxa"/>
            <w:vMerge w:val="continue"/>
            <w:tcBorders>
              <w:top w:val="nil"/>
            </w:tcBorders>
            <w:vAlign w:val="center"/>
          </w:tcPr>
          <w:p>
            <w:pPr>
              <w:widowControl/>
              <w:spacing w:line="360" w:lineRule="auto"/>
              <w:jc w:val="left"/>
              <w:rPr>
                <w:rFonts w:ascii="仿宋" w:hAnsi="仿宋" w:eastAsia="仿宋" w:cs="仿宋"/>
                <w:color w:val="auto"/>
                <w:sz w:val="24"/>
                <w:szCs w:val="24"/>
                <w:highlight w:val="none"/>
              </w:rPr>
            </w:pPr>
          </w:p>
        </w:tc>
        <w:tc>
          <w:tcPr>
            <w:tcW w:w="896" w:type="dxa"/>
            <w:vMerge w:val="continue"/>
            <w:tcBorders>
              <w:top w:val="nil"/>
              <w:left w:val="nil"/>
            </w:tcBorders>
            <w:vAlign w:val="center"/>
          </w:tcPr>
          <w:p>
            <w:pPr>
              <w:widowControl/>
              <w:spacing w:line="360" w:lineRule="auto"/>
              <w:jc w:val="left"/>
              <w:rPr>
                <w:rFonts w:ascii="仿宋" w:hAnsi="仿宋" w:eastAsia="仿宋" w:cs="仿宋"/>
                <w:color w:val="auto"/>
                <w:sz w:val="24"/>
                <w:szCs w:val="24"/>
                <w:highlight w:val="none"/>
              </w:rPr>
            </w:pPr>
          </w:p>
        </w:tc>
        <w:tc>
          <w:tcPr>
            <w:tcW w:w="3073" w:type="dxa"/>
            <w:tcBorders>
              <w:left w:val="nil"/>
            </w:tcBorders>
            <w:vAlign w:val="center"/>
          </w:tcPr>
          <w:p>
            <w:pPr>
              <w:widowControl/>
              <w:adjustRightInd w:val="0"/>
              <w:snapToGrid w:val="0"/>
              <w:spacing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资格审查文件格式</w:t>
            </w:r>
          </w:p>
        </w:tc>
        <w:tc>
          <w:tcPr>
            <w:tcW w:w="5388" w:type="dxa"/>
            <w:tcBorders>
              <w:left w:val="nil"/>
            </w:tcBorders>
            <w:vAlign w:val="center"/>
          </w:tcPr>
          <w:p>
            <w:pPr>
              <w:widowControl/>
              <w:adjustRightInd w:val="0"/>
              <w:snapToGrid w:val="0"/>
              <w:spacing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符合磋商文件要求并附有所有相应表格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16" w:type="dxa"/>
            <w:vMerge w:val="restart"/>
            <w:tcBorders>
              <w:top w:val="nil"/>
            </w:tcBorders>
            <w:vAlign w:val="center"/>
          </w:tcPr>
          <w:p>
            <w:pPr>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2.1.2</w:t>
            </w:r>
          </w:p>
        </w:tc>
        <w:tc>
          <w:tcPr>
            <w:tcW w:w="896" w:type="dxa"/>
            <w:vMerge w:val="restart"/>
            <w:tcBorders>
              <w:top w:val="nil"/>
              <w:left w:val="nil"/>
            </w:tcBorders>
            <w:vAlign w:val="center"/>
          </w:tcPr>
          <w:p>
            <w:pPr>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资格评审标准</w:t>
            </w:r>
          </w:p>
        </w:tc>
        <w:tc>
          <w:tcPr>
            <w:tcW w:w="3073" w:type="dxa"/>
            <w:tcBorders>
              <w:left w:val="nil"/>
            </w:tcBorders>
            <w:vAlign w:val="center"/>
          </w:tcPr>
          <w:p>
            <w:pPr>
              <w:spacing w:line="360" w:lineRule="exact"/>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法定代表人身份证明书、授权委托书</w:t>
            </w:r>
          </w:p>
        </w:tc>
        <w:tc>
          <w:tcPr>
            <w:tcW w:w="5388" w:type="dxa"/>
            <w:tcBorders>
              <w:left w:val="nil"/>
            </w:tcBorders>
          </w:tcPr>
          <w:p>
            <w:pPr>
              <w:spacing w:line="360" w:lineRule="exact"/>
              <w:jc w:val="left"/>
              <w:rPr>
                <w:rFonts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供应商法定代表人参加的，必须提供法定代表人身份证明及法定代表人本人身份证复印件（格式参见第七章）；非法定代表人参加的，必须提供法定代表人签字或盖章的授权委托书及法定代表人、被授权人的两人身份证的复印件（格式参见第七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16" w:type="dxa"/>
            <w:vMerge w:val="continue"/>
            <w:vAlign w:val="center"/>
          </w:tcPr>
          <w:p>
            <w:pPr>
              <w:spacing w:line="360" w:lineRule="auto"/>
              <w:jc w:val="center"/>
              <w:rPr>
                <w:rFonts w:ascii="仿宋" w:hAnsi="仿宋" w:eastAsia="仿宋" w:cs="仿宋"/>
                <w:color w:val="auto"/>
                <w:sz w:val="24"/>
                <w:szCs w:val="24"/>
                <w:highlight w:val="none"/>
              </w:rPr>
            </w:pPr>
          </w:p>
        </w:tc>
        <w:tc>
          <w:tcPr>
            <w:tcW w:w="896" w:type="dxa"/>
            <w:vMerge w:val="continue"/>
            <w:tcBorders>
              <w:left w:val="nil"/>
            </w:tcBorders>
            <w:vAlign w:val="center"/>
          </w:tcPr>
          <w:p>
            <w:pPr>
              <w:spacing w:line="360" w:lineRule="auto"/>
              <w:jc w:val="center"/>
              <w:rPr>
                <w:rFonts w:ascii="仿宋" w:hAnsi="仿宋" w:eastAsia="仿宋" w:cs="仿宋"/>
                <w:color w:val="auto"/>
                <w:sz w:val="24"/>
                <w:szCs w:val="24"/>
                <w:highlight w:val="none"/>
              </w:rPr>
            </w:pPr>
          </w:p>
        </w:tc>
        <w:tc>
          <w:tcPr>
            <w:tcW w:w="3073" w:type="dxa"/>
            <w:tcBorders>
              <w:left w:val="nil"/>
            </w:tcBorders>
            <w:vAlign w:val="center"/>
          </w:tcPr>
          <w:p>
            <w:pPr>
              <w:spacing w:line="360" w:lineRule="exact"/>
              <w:jc w:val="left"/>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法人或者其他组织的营业执照等证明文件，自然人的身份证明</w:t>
            </w:r>
          </w:p>
        </w:tc>
        <w:tc>
          <w:tcPr>
            <w:tcW w:w="5388" w:type="dxa"/>
            <w:tcBorders>
              <w:left w:val="nil"/>
            </w:tcBorders>
            <w:vAlign w:val="center"/>
          </w:tcPr>
          <w:p>
            <w:pPr>
              <w:spacing w:line="360" w:lineRule="exact"/>
              <w:jc w:val="left"/>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法人或者其他组织的营业执照等证明文件，自然人的身份证明。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16" w:type="dxa"/>
            <w:vMerge w:val="continue"/>
            <w:vAlign w:val="center"/>
          </w:tcPr>
          <w:p>
            <w:pPr>
              <w:widowControl/>
              <w:spacing w:line="360" w:lineRule="auto"/>
              <w:jc w:val="left"/>
              <w:rPr>
                <w:rFonts w:ascii="仿宋" w:hAnsi="仿宋" w:eastAsia="仿宋" w:cs="仿宋"/>
                <w:color w:val="auto"/>
                <w:sz w:val="24"/>
                <w:szCs w:val="24"/>
                <w:highlight w:val="none"/>
              </w:rPr>
            </w:pPr>
          </w:p>
        </w:tc>
        <w:tc>
          <w:tcPr>
            <w:tcW w:w="896" w:type="dxa"/>
            <w:vMerge w:val="continue"/>
            <w:tcBorders>
              <w:left w:val="nil"/>
            </w:tcBorders>
            <w:vAlign w:val="center"/>
          </w:tcPr>
          <w:p>
            <w:pPr>
              <w:widowControl/>
              <w:spacing w:line="360" w:lineRule="auto"/>
              <w:jc w:val="left"/>
              <w:rPr>
                <w:rFonts w:ascii="仿宋" w:hAnsi="仿宋" w:eastAsia="仿宋" w:cs="仿宋"/>
                <w:color w:val="auto"/>
                <w:sz w:val="24"/>
                <w:szCs w:val="24"/>
                <w:highlight w:val="none"/>
              </w:rPr>
            </w:pPr>
          </w:p>
        </w:tc>
        <w:tc>
          <w:tcPr>
            <w:tcW w:w="3073" w:type="dxa"/>
            <w:tcBorders>
              <w:left w:val="nil"/>
            </w:tcBorders>
            <w:vAlign w:val="center"/>
          </w:tcPr>
          <w:p>
            <w:pPr>
              <w:spacing w:line="360" w:lineRule="exact"/>
              <w:jc w:val="left"/>
              <w:rPr>
                <w:rFonts w:ascii="仿宋" w:hAnsi="仿宋" w:eastAsia="仿宋" w:cs="仿宋"/>
                <w:color w:val="auto"/>
                <w:highlight w:val="none"/>
              </w:rPr>
            </w:pPr>
            <w:r>
              <w:rPr>
                <w:rFonts w:hint="eastAsia" w:ascii="仿宋" w:hAnsi="仿宋" w:eastAsia="仿宋" w:cs="仿宋"/>
                <w:color w:val="auto"/>
                <w:sz w:val="22"/>
                <w:szCs w:val="22"/>
                <w:highlight w:val="none"/>
              </w:rPr>
              <w:t>声明函</w:t>
            </w:r>
          </w:p>
        </w:tc>
        <w:tc>
          <w:tcPr>
            <w:tcW w:w="5388" w:type="dxa"/>
            <w:tcBorders>
              <w:left w:val="nil"/>
            </w:tcBorders>
          </w:tcPr>
          <w:p>
            <w:pPr>
              <w:spacing w:line="360" w:lineRule="exact"/>
              <w:rPr>
                <w:rFonts w:ascii="仿宋" w:hAnsi="仿宋" w:eastAsia="仿宋" w:cs="仿宋"/>
                <w:color w:val="auto"/>
                <w:highlight w:val="none"/>
              </w:rPr>
            </w:pPr>
            <w:r>
              <w:rPr>
                <w:rFonts w:hint="eastAsia" w:ascii="仿宋" w:hAnsi="仿宋" w:eastAsia="仿宋" w:cs="仿宋"/>
                <w:color w:val="auto"/>
                <w:sz w:val="22"/>
                <w:szCs w:val="22"/>
                <w:highlight w:val="none"/>
              </w:rPr>
              <w:t>响应供应商符合《政府采购法》第二十二条规定条件的声明函（按磋商文件后附格式）；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816" w:type="dxa"/>
            <w:vMerge w:val="continue"/>
            <w:vAlign w:val="center"/>
          </w:tcPr>
          <w:p>
            <w:pPr>
              <w:widowControl/>
              <w:spacing w:line="360" w:lineRule="auto"/>
              <w:jc w:val="left"/>
              <w:rPr>
                <w:rFonts w:ascii="仿宋" w:hAnsi="仿宋" w:eastAsia="仿宋" w:cs="仿宋"/>
                <w:color w:val="auto"/>
                <w:sz w:val="24"/>
                <w:szCs w:val="24"/>
                <w:highlight w:val="none"/>
              </w:rPr>
            </w:pPr>
          </w:p>
        </w:tc>
        <w:tc>
          <w:tcPr>
            <w:tcW w:w="896" w:type="dxa"/>
            <w:vMerge w:val="continue"/>
            <w:tcBorders>
              <w:left w:val="nil"/>
            </w:tcBorders>
            <w:vAlign w:val="center"/>
          </w:tcPr>
          <w:p>
            <w:pPr>
              <w:widowControl/>
              <w:spacing w:line="360" w:lineRule="auto"/>
              <w:jc w:val="left"/>
              <w:rPr>
                <w:rFonts w:ascii="仿宋" w:hAnsi="仿宋" w:eastAsia="仿宋" w:cs="仿宋"/>
                <w:color w:val="auto"/>
                <w:sz w:val="24"/>
                <w:szCs w:val="24"/>
                <w:highlight w:val="none"/>
              </w:rPr>
            </w:pPr>
          </w:p>
        </w:tc>
        <w:tc>
          <w:tcPr>
            <w:tcW w:w="3073" w:type="dxa"/>
            <w:tcBorders>
              <w:left w:val="nil"/>
            </w:tcBorders>
            <w:vAlign w:val="center"/>
          </w:tcPr>
          <w:p>
            <w:pPr>
              <w:spacing w:line="360" w:lineRule="exact"/>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磋商供应商未列入失信被执行人或重大税收违法案件当事人名单或政府采购严重失信行为记录名单的证明材料</w:t>
            </w:r>
          </w:p>
        </w:tc>
        <w:tc>
          <w:tcPr>
            <w:tcW w:w="5388" w:type="dxa"/>
            <w:tcBorders>
              <w:left w:val="nil"/>
            </w:tcBorders>
            <w:vAlign w:val="center"/>
          </w:tcPr>
          <w:p>
            <w:pPr>
              <w:pStyle w:val="9"/>
              <w:spacing w:line="360" w:lineRule="exact"/>
              <w:rPr>
                <w:rFonts w:ascii="仿宋" w:hAnsi="仿宋" w:eastAsia="仿宋" w:cs="仿宋"/>
                <w:color w:val="auto"/>
                <w:kern w:val="2"/>
                <w:sz w:val="22"/>
                <w:szCs w:val="22"/>
                <w:highlight w:val="none"/>
              </w:rPr>
            </w:pPr>
            <w:r>
              <w:rPr>
                <w:rFonts w:hint="eastAsia" w:ascii="仿宋" w:hAnsi="仿宋" w:eastAsia="仿宋" w:cs="仿宋"/>
                <w:color w:val="auto"/>
                <w:sz w:val="22"/>
                <w:szCs w:val="22"/>
                <w:highlight w:val="none"/>
              </w:rPr>
              <w:t>响应供应商未被“信用中国”网站、中国政府采购网、国家企业信用信息公示系统列入失信被执行人、重大税收违法案件当事人名单、政府采购严重违法失信行为记录名单、异常经营名录、严重违法失信企业名单；为确保政府采购守法供应商公平参加政府采购活动，采购代理机构将在开标开始后一个小时内，通过“信用中国”网站和中国政府采购网和国家企业信用信息公示系统对供应商信用信息进行查询查证，并将查询记录截屏打印保存在采购档案内。如核实未通过，经磋商小组确认后资格审查不予通过</w:t>
            </w:r>
            <w:r>
              <w:rPr>
                <w:rFonts w:hint="eastAsia" w:ascii="仿宋" w:hAnsi="仿宋" w:eastAsia="仿宋" w:cs="仿宋"/>
                <w:color w:val="auto"/>
                <w:kern w:val="2"/>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816" w:type="dxa"/>
            <w:vMerge w:val="continue"/>
            <w:vAlign w:val="center"/>
          </w:tcPr>
          <w:p>
            <w:pPr>
              <w:widowControl/>
              <w:spacing w:line="360" w:lineRule="auto"/>
              <w:jc w:val="left"/>
              <w:rPr>
                <w:rFonts w:ascii="仿宋" w:hAnsi="仿宋" w:eastAsia="仿宋" w:cs="仿宋"/>
                <w:color w:val="auto"/>
                <w:sz w:val="24"/>
                <w:szCs w:val="24"/>
                <w:highlight w:val="none"/>
              </w:rPr>
            </w:pPr>
          </w:p>
        </w:tc>
        <w:tc>
          <w:tcPr>
            <w:tcW w:w="896" w:type="dxa"/>
            <w:vMerge w:val="continue"/>
            <w:tcBorders>
              <w:left w:val="nil"/>
            </w:tcBorders>
            <w:vAlign w:val="center"/>
          </w:tcPr>
          <w:p>
            <w:pPr>
              <w:widowControl/>
              <w:spacing w:line="360" w:lineRule="auto"/>
              <w:jc w:val="left"/>
              <w:rPr>
                <w:rFonts w:ascii="仿宋" w:hAnsi="仿宋" w:eastAsia="仿宋" w:cs="仿宋"/>
                <w:color w:val="auto"/>
                <w:sz w:val="24"/>
                <w:szCs w:val="24"/>
                <w:highlight w:val="none"/>
              </w:rPr>
            </w:pPr>
          </w:p>
        </w:tc>
        <w:tc>
          <w:tcPr>
            <w:tcW w:w="3073" w:type="dxa"/>
            <w:tcBorders>
              <w:left w:val="nil"/>
            </w:tcBorders>
            <w:vAlign w:val="center"/>
          </w:tcPr>
          <w:p>
            <w:pPr>
              <w:spacing w:line="360" w:lineRule="exact"/>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投标供应商资质</w:t>
            </w:r>
          </w:p>
        </w:tc>
        <w:tc>
          <w:tcPr>
            <w:tcW w:w="5388" w:type="dxa"/>
            <w:tcBorders>
              <w:left w:val="nil"/>
            </w:tcBorders>
            <w:vAlign w:val="center"/>
          </w:tcPr>
          <w:p>
            <w:pPr>
              <w:pStyle w:val="9"/>
              <w:spacing w:line="360" w:lineRule="exact"/>
              <w:rPr>
                <w:rFonts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 xml:space="preserve">响应供应商具有江苏省土地规划机构评价推荐证书丙级（含）以上资质，提供有效证书原件复印件。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816" w:type="dxa"/>
            <w:vMerge w:val="continue"/>
            <w:vAlign w:val="center"/>
          </w:tcPr>
          <w:p>
            <w:pPr>
              <w:widowControl/>
              <w:spacing w:line="360" w:lineRule="auto"/>
              <w:jc w:val="left"/>
              <w:rPr>
                <w:rFonts w:ascii="仿宋" w:hAnsi="仿宋" w:eastAsia="仿宋" w:cs="仿宋"/>
                <w:color w:val="auto"/>
                <w:sz w:val="24"/>
                <w:szCs w:val="24"/>
                <w:highlight w:val="none"/>
              </w:rPr>
            </w:pPr>
            <w:bookmarkStart w:id="120" w:name="_Hlk14941930"/>
          </w:p>
        </w:tc>
        <w:tc>
          <w:tcPr>
            <w:tcW w:w="896" w:type="dxa"/>
            <w:vMerge w:val="continue"/>
            <w:tcBorders>
              <w:left w:val="nil"/>
            </w:tcBorders>
            <w:vAlign w:val="center"/>
          </w:tcPr>
          <w:p>
            <w:pPr>
              <w:widowControl/>
              <w:spacing w:line="360" w:lineRule="auto"/>
              <w:jc w:val="left"/>
              <w:rPr>
                <w:rFonts w:ascii="仿宋" w:hAnsi="仿宋" w:eastAsia="仿宋" w:cs="仿宋"/>
                <w:color w:val="auto"/>
                <w:sz w:val="24"/>
                <w:szCs w:val="24"/>
                <w:highlight w:val="none"/>
              </w:rPr>
            </w:pPr>
          </w:p>
        </w:tc>
        <w:tc>
          <w:tcPr>
            <w:tcW w:w="3073" w:type="dxa"/>
            <w:tcBorders>
              <w:left w:val="nil"/>
            </w:tcBorders>
            <w:vAlign w:val="center"/>
          </w:tcPr>
          <w:p>
            <w:pPr>
              <w:spacing w:line="360" w:lineRule="exact"/>
              <w:jc w:val="left"/>
              <w:rPr>
                <w:rFonts w:ascii="仿宋" w:hAnsi="仿宋" w:eastAsia="仿宋" w:cs="仿宋"/>
                <w:color w:val="auto"/>
                <w:sz w:val="22"/>
                <w:szCs w:val="22"/>
                <w:highlight w:val="none"/>
              </w:rPr>
            </w:pPr>
            <w:r>
              <w:rPr>
                <w:rFonts w:hint="eastAsia" w:ascii="仿宋" w:hAnsi="仿宋" w:eastAsia="仿宋" w:cs="仿宋"/>
                <w:bCs/>
                <w:color w:val="auto"/>
                <w:sz w:val="22"/>
                <w:szCs w:val="22"/>
                <w:highlight w:val="none"/>
              </w:rPr>
              <w:t>中小企业声明函</w:t>
            </w:r>
          </w:p>
        </w:tc>
        <w:tc>
          <w:tcPr>
            <w:tcW w:w="5388" w:type="dxa"/>
            <w:tcBorders>
              <w:left w:val="nil"/>
            </w:tcBorders>
            <w:vAlign w:val="center"/>
          </w:tcPr>
          <w:p>
            <w:pPr>
              <w:pStyle w:val="9"/>
              <w:spacing w:line="360" w:lineRule="exact"/>
              <w:rPr>
                <w:rFonts w:ascii="仿宋" w:hAnsi="仿宋" w:eastAsia="仿宋" w:cs="仿宋"/>
                <w:color w:val="auto"/>
                <w:sz w:val="22"/>
                <w:szCs w:val="22"/>
                <w:highlight w:val="none"/>
              </w:rPr>
            </w:pPr>
            <w:r>
              <w:rPr>
                <w:rFonts w:hint="eastAsia" w:ascii="仿宋" w:hAnsi="仿宋" w:eastAsia="仿宋" w:cs="仿宋"/>
                <w:bCs/>
                <w:color w:val="auto"/>
                <w:kern w:val="2"/>
                <w:sz w:val="22"/>
                <w:szCs w:val="22"/>
                <w:highlight w:val="none"/>
              </w:rPr>
              <w:t>提供加盖响应供应商原件章的中小企业声明函（按磋商文件第七章后附格式）。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73" w:type="dxa"/>
            <w:gridSpan w:val="4"/>
            <w:vAlign w:val="center"/>
          </w:tcPr>
          <w:p>
            <w:pPr>
              <w:rPr>
                <w:rFonts w:ascii="仿宋" w:hAnsi="仿宋" w:eastAsia="仿宋" w:cs="仿宋"/>
                <w:b/>
                <w:bCs/>
                <w:color w:val="auto"/>
                <w:highlight w:val="none"/>
              </w:rPr>
            </w:pPr>
            <w:r>
              <w:rPr>
                <w:rFonts w:hint="eastAsia" w:ascii="仿宋" w:hAnsi="仿宋" w:eastAsia="仿宋" w:cs="仿宋"/>
                <w:b/>
                <w:bCs/>
                <w:color w:val="auto"/>
                <w:highlight w:val="none"/>
              </w:rPr>
              <w:t>上述条款号2.1.2资格评审标准的纸质递交资料需提供清晰的原件复印件并加盖单位公章；以上资格评审标准评审标等相关内容不清晰或资料不全的，由此引起的后果由供应商自负。</w:t>
            </w:r>
          </w:p>
          <w:p>
            <w:pPr>
              <w:rPr>
                <w:rFonts w:ascii="仿宋" w:hAnsi="仿宋" w:eastAsia="仿宋" w:cs="仿宋"/>
                <w:color w:val="auto"/>
                <w:sz w:val="24"/>
                <w:szCs w:val="24"/>
                <w:highlight w:val="none"/>
              </w:rPr>
            </w:pPr>
            <w:r>
              <w:rPr>
                <w:rFonts w:hint="eastAsia" w:ascii="仿宋" w:hAnsi="仿宋" w:eastAsia="仿宋" w:cs="仿宋"/>
                <w:b/>
                <w:bCs/>
                <w:color w:val="auto"/>
                <w:highlight w:val="none"/>
              </w:rPr>
              <w:t>注：通过形式评审和资格审查的投标单位可进入以下评审(资格审查不合格的投标单位不得进入本项目技术标和报价标的综合评审阶段)。</w:t>
            </w:r>
            <w:bookmarkEnd w:id="120"/>
          </w:p>
        </w:tc>
      </w:tr>
      <w:bookmarkEnd w:id="119"/>
    </w:tbl>
    <w:p>
      <w:pPr>
        <w:spacing w:line="360" w:lineRule="auto"/>
        <w:ind w:firstLine="1920" w:firstLineChars="8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r>
        <w:rPr>
          <w:rFonts w:hint="eastAsia" w:ascii="仿宋" w:hAnsi="仿宋" w:eastAsia="仿宋" w:cs="仿宋"/>
          <w:b/>
          <w:bCs/>
          <w:color w:val="auto"/>
          <w:sz w:val="32"/>
          <w:szCs w:val="32"/>
          <w:highlight w:val="none"/>
        </w:rPr>
        <w:t>第六章磋商办法（综合评分法）</w:t>
      </w:r>
    </w:p>
    <w:p>
      <w:pPr>
        <w:spacing w:line="360" w:lineRule="auto"/>
        <w:rPr>
          <w:rFonts w:ascii="仿宋" w:hAnsi="仿宋" w:eastAsia="仿宋" w:cs="仿宋"/>
          <w:b/>
          <w:color w:val="auto"/>
          <w:sz w:val="24"/>
          <w:szCs w:val="24"/>
          <w:highlight w:val="none"/>
        </w:rPr>
      </w:pPr>
      <w:bookmarkStart w:id="121" w:name="_Toc504664807"/>
      <w:bookmarkEnd w:id="121"/>
      <w:bookmarkStart w:id="122" w:name="_Toc184635088"/>
      <w:bookmarkEnd w:id="122"/>
      <w:bookmarkStart w:id="123" w:name="_Toc501715499"/>
      <w:bookmarkEnd w:id="123"/>
      <w:bookmarkStart w:id="124" w:name="_Toc425960644"/>
      <w:bookmarkEnd w:id="124"/>
      <w:bookmarkStart w:id="125" w:name="_Toc12009"/>
      <w:bookmarkEnd w:id="125"/>
      <w:r>
        <w:rPr>
          <w:rFonts w:hint="eastAsia" w:ascii="仿宋" w:hAnsi="仿宋" w:eastAsia="仿宋" w:cs="仿宋"/>
          <w:b/>
          <w:color w:val="auto"/>
          <w:sz w:val="24"/>
          <w:szCs w:val="24"/>
          <w:highlight w:val="none"/>
        </w:rPr>
        <w:t>一、本项目开标顺序为：</w:t>
      </w:r>
    </w:p>
    <w:p>
      <w:pPr>
        <w:spacing w:line="360" w:lineRule="auto"/>
        <w:ind w:firstLine="480" w:firstLineChars="200"/>
        <w:jc w:val="left"/>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rPr>
        <w:t>评标流程：资格审查评审→商务技术标评审→报价标评审→最终报价填写→技术标得分情况通报和最终报价唱标→根据综合得分汇总后确定中标候选人</w:t>
      </w:r>
    </w:p>
    <w:p>
      <w:pPr>
        <w:widowControl/>
        <w:spacing w:line="360" w:lineRule="auto"/>
        <w:jc w:val="lef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二、本项目磋商小组成员共3人</w:t>
      </w:r>
    </w:p>
    <w:p>
      <w:pPr>
        <w:spacing w:line="360" w:lineRule="auto"/>
        <w:ind w:firstLine="480" w:firstLineChars="200"/>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本项目磋商小组成员共3位；从江苏省公共资源交易平台专家库内抽取相关专业的专家，如专家库无相关专业专家，则由采购人组织与本项目相关专家评审。</w:t>
      </w:r>
    </w:p>
    <w:p>
      <w:pPr>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磋商委员会认为投标人的报价明显低于其他投标人的报价，有可能影响服务质量或者不能诚信履约的，应当要求其在评标现场在规定时限之内提供书面说明，必要时提交相关证明材料；投标人不能证明其投标合理性的，磋商委员会应当将其作为无效投标处理。</w:t>
      </w:r>
    </w:p>
    <w:p>
      <w:pPr>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四、评标办法：本次评标采用综合评分法，具体评分办法如下：</w:t>
      </w:r>
    </w:p>
    <w:p>
      <w:pPr>
        <w:jc w:val="center"/>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磋商办法前附表</w:t>
      </w:r>
    </w:p>
    <w:p>
      <w:pPr>
        <w:pStyle w:val="3"/>
        <w:rPr>
          <w:rFonts w:ascii="仿宋" w:hAnsi="仿宋" w:eastAsia="仿宋" w:cs="仿宋"/>
          <w:b/>
          <w:color w:val="auto"/>
          <w:sz w:val="24"/>
          <w:szCs w:val="24"/>
          <w:highlight w:val="none"/>
        </w:rPr>
      </w:pPr>
    </w:p>
    <w:tbl>
      <w:tblPr>
        <w:tblStyle w:val="22"/>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202"/>
        <w:gridCol w:w="1291"/>
        <w:gridCol w:w="1382"/>
        <w:gridCol w:w="5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9" w:type="dxa"/>
            <w:gridSpan w:val="2"/>
            <w:vAlign w:val="center"/>
          </w:tcPr>
          <w:p>
            <w:pPr>
              <w:spacing w:line="300" w:lineRule="exact"/>
              <w:jc w:val="center"/>
              <w:rPr>
                <w:rFonts w:ascii="仿宋" w:hAnsi="仿宋" w:eastAsia="仿宋" w:cs="仿宋"/>
                <w:color w:val="auto"/>
                <w:highlight w:val="none"/>
              </w:rPr>
            </w:pPr>
            <w:r>
              <w:rPr>
                <w:rFonts w:hint="eastAsia" w:ascii="仿宋" w:hAnsi="仿宋" w:eastAsia="仿宋" w:cs="仿宋"/>
                <w:color w:val="auto"/>
                <w:highlight w:val="none"/>
              </w:rPr>
              <w:t>2.2.1</w:t>
            </w:r>
          </w:p>
        </w:tc>
        <w:tc>
          <w:tcPr>
            <w:tcW w:w="2673" w:type="dxa"/>
            <w:gridSpan w:val="2"/>
            <w:tcBorders>
              <w:left w:val="nil"/>
            </w:tcBorders>
            <w:vAlign w:val="center"/>
          </w:tcPr>
          <w:p>
            <w:pPr>
              <w:spacing w:line="300" w:lineRule="exact"/>
              <w:jc w:val="center"/>
              <w:rPr>
                <w:rFonts w:ascii="仿宋" w:hAnsi="仿宋" w:eastAsia="仿宋" w:cs="仿宋"/>
                <w:color w:val="auto"/>
                <w:highlight w:val="none"/>
              </w:rPr>
            </w:pPr>
            <w:r>
              <w:rPr>
                <w:rFonts w:hint="eastAsia" w:ascii="仿宋" w:hAnsi="仿宋" w:eastAsia="仿宋" w:cs="仿宋"/>
                <w:color w:val="auto"/>
                <w:highlight w:val="none"/>
              </w:rPr>
              <w:t>分值构成</w:t>
            </w:r>
          </w:p>
          <w:p>
            <w:pPr>
              <w:spacing w:line="300" w:lineRule="exact"/>
              <w:jc w:val="center"/>
              <w:rPr>
                <w:rFonts w:ascii="仿宋" w:hAnsi="仿宋" w:eastAsia="仿宋" w:cs="仿宋"/>
                <w:color w:val="auto"/>
                <w:highlight w:val="none"/>
              </w:rPr>
            </w:pPr>
            <w:r>
              <w:rPr>
                <w:rFonts w:hint="eastAsia" w:ascii="仿宋" w:hAnsi="仿宋" w:eastAsia="仿宋" w:cs="仿宋"/>
                <w:color w:val="auto"/>
                <w:highlight w:val="none"/>
              </w:rPr>
              <w:t>（100分）</w:t>
            </w:r>
          </w:p>
        </w:tc>
        <w:tc>
          <w:tcPr>
            <w:tcW w:w="5786" w:type="dxa"/>
            <w:tcBorders>
              <w:left w:val="nil"/>
            </w:tcBorders>
            <w:vAlign w:val="center"/>
          </w:tcPr>
          <w:p>
            <w:pPr>
              <w:spacing w:line="300" w:lineRule="exact"/>
              <w:rPr>
                <w:rFonts w:ascii="仿宋" w:hAnsi="仿宋" w:eastAsia="仿宋" w:cs="仿宋"/>
                <w:color w:val="auto"/>
                <w:highlight w:val="none"/>
              </w:rPr>
            </w:pPr>
            <w:r>
              <w:rPr>
                <w:rFonts w:hint="eastAsia" w:ascii="仿宋" w:hAnsi="仿宋" w:eastAsia="仿宋" w:cs="仿宋"/>
                <w:color w:val="auto"/>
                <w:highlight w:val="none"/>
              </w:rPr>
              <w:t>商务技术标80分，报价标20分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9698" w:type="dxa"/>
            <w:gridSpan w:val="5"/>
          </w:tcPr>
          <w:p>
            <w:pPr>
              <w:spacing w:line="300" w:lineRule="exact"/>
              <w:ind w:firstLine="420" w:firstLineChars="200"/>
              <w:rPr>
                <w:rFonts w:ascii="仿宋" w:hAnsi="仿宋" w:eastAsia="仿宋" w:cs="仿宋"/>
                <w:color w:val="auto"/>
                <w:highlight w:val="none"/>
              </w:rPr>
            </w:pPr>
            <w:r>
              <w:rPr>
                <w:rFonts w:hint="eastAsia" w:ascii="仿宋" w:hAnsi="仿宋" w:eastAsia="仿宋" w:cs="仿宋"/>
                <w:color w:val="auto"/>
                <w:highlight w:val="none"/>
              </w:rPr>
              <w:t>技术分按算术平均值计算。分值小数点后保留两位。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037" w:type="dxa"/>
            <w:vAlign w:val="center"/>
          </w:tcPr>
          <w:p>
            <w:pPr>
              <w:spacing w:line="300" w:lineRule="exact"/>
              <w:jc w:val="center"/>
              <w:rPr>
                <w:rFonts w:ascii="仿宋" w:hAnsi="仿宋" w:eastAsia="仿宋" w:cs="仿宋"/>
                <w:bCs/>
                <w:color w:val="auto"/>
                <w:highlight w:val="none"/>
              </w:rPr>
            </w:pPr>
            <w:r>
              <w:rPr>
                <w:rFonts w:hint="eastAsia" w:ascii="仿宋" w:hAnsi="仿宋" w:eastAsia="仿宋" w:cs="仿宋"/>
                <w:bCs/>
                <w:color w:val="auto"/>
                <w:highlight w:val="none"/>
              </w:rPr>
              <w:t>条款号</w:t>
            </w:r>
          </w:p>
        </w:tc>
        <w:tc>
          <w:tcPr>
            <w:tcW w:w="1493" w:type="dxa"/>
            <w:gridSpan w:val="2"/>
            <w:tcBorders>
              <w:left w:val="nil"/>
            </w:tcBorders>
            <w:vAlign w:val="center"/>
          </w:tcPr>
          <w:p>
            <w:pPr>
              <w:spacing w:line="300" w:lineRule="exact"/>
              <w:jc w:val="center"/>
              <w:rPr>
                <w:rFonts w:ascii="仿宋" w:hAnsi="仿宋" w:eastAsia="仿宋" w:cs="仿宋"/>
                <w:bCs/>
                <w:color w:val="auto"/>
                <w:highlight w:val="none"/>
              </w:rPr>
            </w:pPr>
            <w:r>
              <w:rPr>
                <w:rFonts w:hint="eastAsia" w:ascii="仿宋" w:hAnsi="仿宋" w:eastAsia="仿宋" w:cs="仿宋"/>
                <w:bCs/>
                <w:color w:val="auto"/>
                <w:highlight w:val="none"/>
              </w:rPr>
              <w:t>评分因素</w:t>
            </w:r>
          </w:p>
        </w:tc>
        <w:tc>
          <w:tcPr>
            <w:tcW w:w="7168" w:type="dxa"/>
            <w:gridSpan w:val="2"/>
            <w:tcBorders>
              <w:left w:val="nil"/>
            </w:tcBorders>
            <w:vAlign w:val="center"/>
          </w:tcPr>
          <w:p>
            <w:pPr>
              <w:spacing w:line="300" w:lineRule="exact"/>
              <w:jc w:val="center"/>
              <w:rPr>
                <w:rFonts w:ascii="仿宋" w:hAnsi="仿宋" w:eastAsia="仿宋" w:cs="仿宋"/>
                <w:bCs/>
                <w:color w:val="auto"/>
                <w:highlight w:val="none"/>
              </w:rPr>
            </w:pPr>
            <w:r>
              <w:rPr>
                <w:rFonts w:hint="eastAsia" w:ascii="仿宋" w:hAnsi="仿宋" w:eastAsia="仿宋" w:cs="仿宋"/>
                <w:bCs/>
                <w:color w:val="auto"/>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7" w:type="dxa"/>
            <w:vMerge w:val="restart"/>
            <w:tcBorders>
              <w:top w:val="nil"/>
            </w:tcBorders>
            <w:vAlign w:val="center"/>
          </w:tcPr>
          <w:p>
            <w:pPr>
              <w:widowControl/>
              <w:spacing w:line="300" w:lineRule="exact"/>
              <w:jc w:val="left"/>
              <w:rPr>
                <w:rFonts w:ascii="仿宋" w:hAnsi="仿宋" w:eastAsia="仿宋" w:cs="仿宋"/>
                <w:color w:val="auto"/>
                <w:highlight w:val="none"/>
              </w:rPr>
            </w:pPr>
            <w:r>
              <w:rPr>
                <w:rFonts w:hint="eastAsia" w:ascii="仿宋" w:hAnsi="仿宋" w:eastAsia="仿宋" w:cs="仿宋"/>
                <w:color w:val="auto"/>
                <w:highlight w:val="none"/>
              </w:rPr>
              <w:t>2.2.2商务技术标（80</w:t>
            </w:r>
          </w:p>
          <w:p>
            <w:pPr>
              <w:widowControl/>
              <w:spacing w:line="300" w:lineRule="exact"/>
              <w:jc w:val="left"/>
              <w:rPr>
                <w:rFonts w:ascii="仿宋" w:hAnsi="仿宋" w:eastAsia="仿宋" w:cs="仿宋"/>
                <w:color w:val="auto"/>
                <w:highlight w:val="none"/>
              </w:rPr>
            </w:pPr>
            <w:r>
              <w:rPr>
                <w:rFonts w:hint="eastAsia" w:ascii="仿宋" w:hAnsi="仿宋" w:eastAsia="仿宋" w:cs="仿宋"/>
                <w:color w:val="auto"/>
                <w:highlight w:val="none"/>
              </w:rPr>
              <w:t>分）</w:t>
            </w:r>
          </w:p>
        </w:tc>
        <w:tc>
          <w:tcPr>
            <w:tcW w:w="1493" w:type="dxa"/>
            <w:gridSpan w:val="2"/>
            <w:tcBorders>
              <w:left w:val="nil"/>
            </w:tcBorders>
            <w:vAlign w:val="center"/>
          </w:tcPr>
          <w:p>
            <w:pPr>
              <w:widowControl/>
              <w:spacing w:line="300" w:lineRule="exact"/>
              <w:jc w:val="center"/>
              <w:rPr>
                <w:rFonts w:ascii="仿宋" w:hAnsi="仿宋" w:eastAsia="仿宋" w:cs="仿宋"/>
                <w:color w:val="auto"/>
                <w:highlight w:val="none"/>
              </w:rPr>
            </w:pPr>
            <w:r>
              <w:rPr>
                <w:rFonts w:hint="eastAsia" w:ascii="仿宋" w:hAnsi="仿宋" w:eastAsia="仿宋" w:cs="仿宋"/>
                <w:bCs/>
                <w:color w:val="auto"/>
                <w:kern w:val="0"/>
                <w:highlight w:val="none"/>
              </w:rPr>
              <w:t>针对本项目的提供的技术方案</w:t>
            </w:r>
            <w:r>
              <w:rPr>
                <w:rFonts w:hint="eastAsia" w:ascii="仿宋" w:hAnsi="仿宋" w:eastAsia="仿宋" w:cs="仿宋"/>
                <w:color w:val="auto"/>
                <w:kern w:val="0"/>
                <w:sz w:val="22"/>
                <w:szCs w:val="22"/>
                <w:highlight w:val="none"/>
              </w:rPr>
              <w:t>（32分）</w:t>
            </w:r>
          </w:p>
        </w:tc>
        <w:tc>
          <w:tcPr>
            <w:tcW w:w="7168" w:type="dxa"/>
            <w:gridSpan w:val="2"/>
            <w:tcBorders>
              <w:left w:val="nil"/>
            </w:tcBorders>
            <w:vAlign w:val="center"/>
          </w:tcPr>
          <w:p>
            <w:pPr>
              <w:contextualSpacing/>
              <w:rPr>
                <w:rFonts w:ascii="仿宋" w:hAnsi="仿宋" w:eastAsia="仿宋" w:cs="仿宋"/>
                <w:b/>
                <w:color w:val="auto"/>
                <w:highlight w:val="none"/>
              </w:rPr>
            </w:pPr>
            <w:r>
              <w:rPr>
                <w:rFonts w:hint="eastAsia" w:ascii="仿宋" w:hAnsi="仿宋" w:eastAsia="仿宋" w:cs="仿宋"/>
                <w:b/>
                <w:color w:val="auto"/>
                <w:highlight w:val="none"/>
              </w:rPr>
              <w:t>（1）对本区域的熟悉程度（11分）</w:t>
            </w:r>
          </w:p>
          <w:p>
            <w:pPr>
              <w:ind w:firstLine="420" w:firstLineChars="200"/>
              <w:contextualSpacing/>
              <w:rPr>
                <w:rFonts w:ascii="仿宋" w:hAnsi="仿宋" w:eastAsia="仿宋" w:cs="仿宋"/>
                <w:color w:val="auto"/>
                <w:kern w:val="0"/>
                <w:highlight w:val="none"/>
              </w:rPr>
            </w:pPr>
            <w:r>
              <w:rPr>
                <w:rFonts w:hint="eastAsia" w:ascii="仿宋" w:hAnsi="仿宋" w:eastAsia="仿宋" w:cs="仿宋"/>
                <w:color w:val="auto"/>
                <w:kern w:val="0"/>
                <w:highlight w:val="none"/>
              </w:rPr>
              <w:t>根据江苏省自然资源厅《关于开展“十四五”时期城乡低效用地调查入库工作的通知》（苏自然资办函〔2021〕472号）、《关于开展全省低效用地再开发“十四五”专项规划和年度实施计划编制工作的通知》（苏自然资发〔2021〕166号）等有关文件要求，区域基本情况与工作要点难点把握准确、表述清晰的得8-11分；表述较为清晰的得5-7.9分；有表述的得1-4.9分；表述不清的不得分。</w:t>
            </w:r>
          </w:p>
          <w:p>
            <w:pPr>
              <w:contextualSpacing/>
              <w:rPr>
                <w:rFonts w:ascii="仿宋" w:hAnsi="仿宋" w:eastAsia="仿宋" w:cs="仿宋"/>
                <w:b/>
                <w:color w:val="auto"/>
                <w:highlight w:val="none"/>
              </w:rPr>
            </w:pPr>
            <w:r>
              <w:rPr>
                <w:rFonts w:hint="eastAsia" w:ascii="仿宋" w:hAnsi="仿宋" w:eastAsia="仿宋" w:cs="仿宋"/>
                <w:b/>
                <w:color w:val="auto"/>
                <w:highlight w:val="none"/>
              </w:rPr>
              <w:t>（2）项目实施工作技术方案（11分）</w:t>
            </w:r>
          </w:p>
          <w:p>
            <w:pPr>
              <w:ind w:firstLine="420" w:firstLineChars="200"/>
              <w:contextualSpacing/>
              <w:rPr>
                <w:rFonts w:ascii="仿宋" w:hAnsi="仿宋" w:eastAsia="仿宋" w:cs="仿宋"/>
                <w:color w:val="auto"/>
                <w:kern w:val="0"/>
                <w:highlight w:val="none"/>
              </w:rPr>
            </w:pPr>
            <w:r>
              <w:rPr>
                <w:rFonts w:hint="eastAsia" w:ascii="仿宋" w:hAnsi="仿宋" w:eastAsia="仿宋" w:cs="仿宋"/>
                <w:color w:val="auto"/>
                <w:kern w:val="0"/>
                <w:highlight w:val="none"/>
              </w:rPr>
              <w:t>项目工作内容（包含但不限于1.规划范围和期限、2.确定年度目标和任务、3.确定再开发方式和再开发方向、4.按要求报备年度实施计划）</w:t>
            </w:r>
            <w:r>
              <w:rPr>
                <w:rFonts w:hint="eastAsia" w:ascii="仿宋" w:hAnsi="仿宋" w:eastAsia="仿宋" w:cs="仿宋"/>
                <w:color w:val="auto"/>
                <w:highlight w:val="none"/>
              </w:rPr>
              <w:t>。</w:t>
            </w:r>
            <w:r>
              <w:rPr>
                <w:rFonts w:hint="eastAsia" w:ascii="仿宋" w:hAnsi="仿宋" w:eastAsia="仿宋" w:cs="仿宋"/>
                <w:color w:val="auto"/>
                <w:kern w:val="0"/>
                <w:highlight w:val="none"/>
              </w:rPr>
              <w:t>方案</w:t>
            </w:r>
            <w:r>
              <w:rPr>
                <w:rFonts w:hint="eastAsia" w:ascii="仿宋" w:hAnsi="仿宋" w:eastAsia="仿宋" w:cs="仿宋"/>
                <w:color w:val="auto"/>
                <w:highlight w:val="none"/>
              </w:rPr>
              <w:t>全面</w:t>
            </w:r>
            <w:r>
              <w:rPr>
                <w:rFonts w:hint="eastAsia" w:ascii="仿宋" w:hAnsi="仿宋" w:eastAsia="仿宋" w:cs="仿宋"/>
                <w:color w:val="auto"/>
                <w:kern w:val="0"/>
                <w:highlight w:val="none"/>
              </w:rPr>
              <w:t>完整、思路与表述清晰明确的得8-11分；方案基本完整、思路与表述较为清晰明确的得5-7.9分；方案完整性一般、思路与表述一般的得1-4.9分；方案不完整、思路与表述不清晰明确的不得分。</w:t>
            </w:r>
          </w:p>
          <w:p>
            <w:pPr>
              <w:contextualSpacing/>
              <w:rPr>
                <w:rFonts w:ascii="仿宋" w:hAnsi="仿宋" w:eastAsia="仿宋" w:cs="仿宋"/>
                <w:b/>
                <w:color w:val="auto"/>
                <w:highlight w:val="none"/>
              </w:rPr>
            </w:pPr>
            <w:r>
              <w:rPr>
                <w:rFonts w:hint="eastAsia" w:ascii="仿宋" w:hAnsi="仿宋" w:eastAsia="仿宋" w:cs="仿宋"/>
                <w:b/>
                <w:color w:val="auto"/>
                <w:highlight w:val="none"/>
              </w:rPr>
              <w:t>（3）进度计划 (10分)</w:t>
            </w:r>
          </w:p>
          <w:p>
            <w:pPr>
              <w:widowControl/>
              <w:adjustRightInd w:val="0"/>
              <w:snapToGrid w:val="0"/>
              <w:ind w:firstLine="420" w:firstLineChars="200"/>
              <w:jc w:val="left"/>
              <w:rPr>
                <w:rFonts w:ascii="仿宋" w:hAnsi="仿宋" w:eastAsia="仿宋" w:cs="仿宋"/>
                <w:color w:val="auto"/>
                <w:kern w:val="0"/>
                <w:highlight w:val="none"/>
              </w:rPr>
            </w:pPr>
            <w:r>
              <w:rPr>
                <w:rFonts w:hint="eastAsia" w:ascii="仿宋" w:hAnsi="仿宋" w:eastAsia="仿宋" w:cs="仿宋"/>
                <w:color w:val="auto"/>
                <w:highlight w:val="none"/>
              </w:rPr>
              <w:t>项目实施进度计划满足采购文件要求。根据磋商供应商质量保证措施横向比较，进度控制合理、可行的得7-10分；进度控制较合理、可行的得4-6.9分；进度控制一般合理、可行的得1-3.9分；进度控制不合理、不可行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1037" w:type="dxa"/>
            <w:vMerge w:val="continue"/>
            <w:vAlign w:val="center"/>
          </w:tcPr>
          <w:p>
            <w:pPr>
              <w:widowControl/>
              <w:spacing w:line="300" w:lineRule="exact"/>
              <w:jc w:val="left"/>
              <w:rPr>
                <w:rFonts w:ascii="仿宋" w:hAnsi="仿宋" w:eastAsia="仿宋" w:cs="仿宋"/>
                <w:color w:val="auto"/>
                <w:highlight w:val="none"/>
              </w:rPr>
            </w:pPr>
          </w:p>
        </w:tc>
        <w:tc>
          <w:tcPr>
            <w:tcW w:w="1493" w:type="dxa"/>
            <w:gridSpan w:val="2"/>
            <w:tcBorders>
              <w:left w:val="nil"/>
            </w:tcBorders>
            <w:vAlign w:val="center"/>
          </w:tcPr>
          <w:p>
            <w:pPr>
              <w:widowControl/>
              <w:spacing w:line="300" w:lineRule="exact"/>
              <w:jc w:val="center"/>
              <w:rPr>
                <w:rFonts w:ascii="仿宋" w:hAnsi="仿宋" w:eastAsia="仿宋" w:cs="仿宋"/>
                <w:bCs/>
                <w:color w:val="auto"/>
                <w:kern w:val="0"/>
                <w:highlight w:val="none"/>
              </w:rPr>
            </w:pPr>
            <w:r>
              <w:rPr>
                <w:rFonts w:hint="eastAsia" w:ascii="仿宋" w:hAnsi="仿宋" w:eastAsia="仿宋" w:cs="仿宋"/>
                <w:bCs/>
                <w:color w:val="auto"/>
                <w:kern w:val="0"/>
                <w:highlight w:val="none"/>
              </w:rPr>
              <w:t>质量保证（8分）</w:t>
            </w:r>
          </w:p>
        </w:tc>
        <w:tc>
          <w:tcPr>
            <w:tcW w:w="7168" w:type="dxa"/>
            <w:gridSpan w:val="2"/>
            <w:tcBorders>
              <w:left w:val="nil"/>
            </w:tcBorders>
            <w:vAlign w:val="center"/>
          </w:tcPr>
          <w:p>
            <w:pPr>
              <w:contextualSpacing/>
              <w:rPr>
                <w:rFonts w:ascii="仿宋" w:hAnsi="仿宋" w:eastAsia="仿宋" w:cs="仿宋"/>
                <w:color w:val="auto"/>
                <w:highlight w:val="none"/>
              </w:rPr>
            </w:pPr>
            <w:r>
              <w:rPr>
                <w:rFonts w:hint="eastAsia" w:ascii="仿宋" w:hAnsi="仿宋" w:eastAsia="仿宋" w:cs="仿宋"/>
                <w:color w:val="auto"/>
                <w:highlight w:val="none"/>
              </w:rPr>
              <w:t>结合项目实际特点提出本项目需求要求编制的苏锡通园区“十四五”时期低效用地再开发专项规划和年度实施计划，落实“十四五”期间低效用地再开发任务，完善低效用地再开发政策体系，提高土地利用节地水平和产出效益以上各项相应的质量保证措施，以上所有涉及内容质量保证措施内容合理可靠的得6-8分；内容较全面、合理的得3-5.9分；内容一般全面、合理的得1-2.9分；内容不全面、不合理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7" w:type="dxa"/>
            <w:vMerge w:val="continue"/>
            <w:vAlign w:val="center"/>
          </w:tcPr>
          <w:p>
            <w:pPr>
              <w:widowControl/>
              <w:spacing w:line="300" w:lineRule="exact"/>
              <w:jc w:val="left"/>
              <w:rPr>
                <w:rFonts w:ascii="仿宋" w:hAnsi="仿宋" w:eastAsia="仿宋" w:cs="仿宋"/>
                <w:color w:val="auto"/>
                <w:highlight w:val="none"/>
              </w:rPr>
            </w:pPr>
          </w:p>
        </w:tc>
        <w:tc>
          <w:tcPr>
            <w:tcW w:w="1493" w:type="dxa"/>
            <w:gridSpan w:val="2"/>
            <w:tcBorders>
              <w:left w:val="nil"/>
            </w:tcBorders>
            <w:vAlign w:val="center"/>
          </w:tcPr>
          <w:p>
            <w:pPr>
              <w:widowControl/>
              <w:spacing w:line="300" w:lineRule="exact"/>
              <w:jc w:val="center"/>
              <w:rPr>
                <w:rFonts w:ascii="仿宋" w:hAnsi="仿宋" w:eastAsia="仿宋" w:cs="仿宋"/>
                <w:bCs/>
                <w:color w:val="auto"/>
                <w:kern w:val="0"/>
                <w:highlight w:val="none"/>
              </w:rPr>
            </w:pPr>
            <w:r>
              <w:rPr>
                <w:rFonts w:hint="eastAsia" w:ascii="仿宋" w:hAnsi="仿宋" w:eastAsia="仿宋" w:cs="仿宋"/>
                <w:bCs/>
                <w:color w:val="auto"/>
                <w:kern w:val="0"/>
                <w:highlight w:val="none"/>
              </w:rPr>
              <w:t>安全生产制度（5分）</w:t>
            </w:r>
          </w:p>
        </w:tc>
        <w:tc>
          <w:tcPr>
            <w:tcW w:w="7168" w:type="dxa"/>
            <w:gridSpan w:val="2"/>
            <w:tcBorders>
              <w:left w:val="nil"/>
            </w:tcBorders>
            <w:vAlign w:val="center"/>
          </w:tcPr>
          <w:p>
            <w:pPr>
              <w:contextualSpacing/>
              <w:rPr>
                <w:rFonts w:ascii="仿宋" w:hAnsi="仿宋" w:eastAsia="仿宋" w:cs="仿宋"/>
                <w:color w:val="auto"/>
                <w:highlight w:val="none"/>
              </w:rPr>
            </w:pPr>
            <w:r>
              <w:rPr>
                <w:rFonts w:hint="eastAsia" w:ascii="仿宋" w:hAnsi="仿宋" w:eastAsia="仿宋" w:cs="仿宋"/>
                <w:color w:val="auto"/>
                <w:highlight w:val="none"/>
              </w:rPr>
              <w:t>响应供应商安全生产制度根据本项目情况（须包含但不限于所有人员意外保险等）是否健全、管理人员是否明确、数据资料保管是否得当、应急预案是否科学合理等。安全生产制度健全、管理人员明确、数据资料保管得当、应急预案科学合理的得3-5分；安全生产制度较健全、管理人员较明确、数据资料保管较得当、应急预案较科学合理的得1-2.9分；有安全生产制度，但内容不明确不合理的得0.1-0.9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7" w:type="dxa"/>
            <w:vMerge w:val="continue"/>
            <w:vAlign w:val="center"/>
          </w:tcPr>
          <w:p>
            <w:pPr>
              <w:widowControl/>
              <w:jc w:val="left"/>
              <w:rPr>
                <w:rFonts w:ascii="仿宋" w:hAnsi="仿宋" w:eastAsia="仿宋" w:cs="仿宋"/>
                <w:color w:val="auto"/>
                <w:highlight w:val="none"/>
              </w:rPr>
            </w:pPr>
          </w:p>
        </w:tc>
        <w:tc>
          <w:tcPr>
            <w:tcW w:w="1493" w:type="dxa"/>
            <w:gridSpan w:val="2"/>
            <w:tcBorders>
              <w:left w:val="nil"/>
            </w:tcBorders>
            <w:vAlign w:val="center"/>
          </w:tcPr>
          <w:p>
            <w:pPr>
              <w:snapToGrid w:val="0"/>
              <w:spacing w:line="300" w:lineRule="exact"/>
              <w:jc w:val="center"/>
              <w:rPr>
                <w:rFonts w:ascii="仿宋" w:hAnsi="仿宋" w:eastAsia="仿宋" w:cs="仿宋"/>
                <w:color w:val="auto"/>
                <w:kern w:val="0"/>
                <w:sz w:val="20"/>
                <w:szCs w:val="20"/>
                <w:highlight w:val="none"/>
              </w:rPr>
            </w:pPr>
            <w:r>
              <w:rPr>
                <w:rFonts w:hint="eastAsia" w:ascii="仿宋" w:hAnsi="仿宋" w:eastAsia="仿宋" w:cs="仿宋"/>
                <w:bCs/>
                <w:color w:val="auto"/>
                <w:kern w:val="0"/>
                <w:highlight w:val="none"/>
              </w:rPr>
              <w:t>磋商供应商实力</w:t>
            </w:r>
            <w:r>
              <w:rPr>
                <w:rFonts w:hint="eastAsia" w:ascii="仿宋" w:hAnsi="仿宋" w:eastAsia="仿宋" w:cs="仿宋"/>
                <w:color w:val="auto"/>
                <w:kern w:val="0"/>
                <w:sz w:val="22"/>
                <w:szCs w:val="22"/>
                <w:highlight w:val="none"/>
              </w:rPr>
              <w:t>（7分）</w:t>
            </w:r>
          </w:p>
        </w:tc>
        <w:tc>
          <w:tcPr>
            <w:tcW w:w="7168" w:type="dxa"/>
            <w:gridSpan w:val="2"/>
            <w:tcBorders>
              <w:left w:val="nil"/>
            </w:tcBorders>
            <w:vAlign w:val="center"/>
          </w:tcPr>
          <w:p>
            <w:pPr>
              <w:contextualSpacing/>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1、</w:t>
            </w:r>
            <w:r>
              <w:rPr>
                <w:rFonts w:hint="eastAsia" w:ascii="仿宋" w:hAnsi="仿宋" w:eastAsia="仿宋" w:cs="仿宋"/>
                <w:color w:val="auto"/>
                <w:highlight w:val="none"/>
              </w:rPr>
              <w:t xml:space="preserve">响应供应商具有信息安全管理体系认证证书的得1分。（提供有效的认证证书复印件加盖公章）。 </w:t>
            </w:r>
          </w:p>
          <w:p>
            <w:pPr>
              <w:contextualSpacing/>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color w:val="auto"/>
                <w:highlight w:val="none"/>
                <w:lang w:val="en-US" w:eastAsia="zh-CN"/>
              </w:rPr>
              <w:t>响应供应商承担过土地评估相关课题研究的，每提供一个得3分，最高得6分。(须提供合同或验收意见复印件并加盖投标单位公章)</w:t>
            </w:r>
          </w:p>
          <w:p>
            <w:pPr>
              <w:rPr>
                <w:rFonts w:ascii="仿宋" w:hAnsi="仿宋" w:eastAsia="仿宋" w:cs="仿宋"/>
                <w:color w:val="auto"/>
                <w:sz w:val="20"/>
                <w:szCs w:val="20"/>
                <w:highlight w:val="none"/>
              </w:rPr>
            </w:pPr>
            <w:r>
              <w:rPr>
                <w:rFonts w:hint="eastAsia" w:ascii="仿宋" w:hAnsi="仿宋" w:eastAsia="仿宋" w:cs="仿宋"/>
                <w:b/>
                <w:color w:val="auto"/>
                <w:highlight w:val="none"/>
              </w:rPr>
              <w:t>注：以上1-2要求须提供有效证明材料复印件（加盖磋商供应商公章）未提供或原件复印件不清晰的不得分。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037" w:type="dxa"/>
            <w:vMerge w:val="continue"/>
            <w:vAlign w:val="center"/>
          </w:tcPr>
          <w:p>
            <w:pPr>
              <w:widowControl/>
              <w:jc w:val="left"/>
              <w:rPr>
                <w:rFonts w:ascii="仿宋" w:hAnsi="仿宋" w:eastAsia="仿宋" w:cs="仿宋"/>
                <w:color w:val="auto"/>
                <w:highlight w:val="none"/>
              </w:rPr>
            </w:pPr>
          </w:p>
        </w:tc>
        <w:tc>
          <w:tcPr>
            <w:tcW w:w="1493" w:type="dxa"/>
            <w:gridSpan w:val="2"/>
            <w:tcBorders>
              <w:left w:val="nil"/>
            </w:tcBorders>
            <w:vAlign w:val="center"/>
          </w:tcPr>
          <w:p>
            <w:pPr>
              <w:widowControl/>
              <w:spacing w:line="240" w:lineRule="atLeast"/>
              <w:jc w:val="center"/>
              <w:rPr>
                <w:rFonts w:ascii="仿宋" w:hAnsi="仿宋" w:eastAsia="仿宋" w:cs="仿宋"/>
                <w:color w:val="auto"/>
                <w:kern w:val="0"/>
                <w:sz w:val="22"/>
                <w:highlight w:val="none"/>
              </w:rPr>
            </w:pPr>
            <w:r>
              <w:rPr>
                <w:rFonts w:hint="eastAsia" w:ascii="仿宋" w:hAnsi="仿宋" w:eastAsia="仿宋" w:cs="仿宋"/>
                <w:color w:val="auto"/>
                <w:kern w:val="0"/>
                <w:sz w:val="22"/>
                <w:szCs w:val="22"/>
                <w:highlight w:val="none"/>
              </w:rPr>
              <w:t>磋商供应商的相关业绩（12分）</w:t>
            </w:r>
          </w:p>
        </w:tc>
        <w:tc>
          <w:tcPr>
            <w:tcW w:w="7168" w:type="dxa"/>
            <w:gridSpan w:val="2"/>
            <w:tcBorders>
              <w:left w:val="nil"/>
            </w:tcBorders>
            <w:vAlign w:val="center"/>
          </w:tcPr>
          <w:p>
            <w:pPr>
              <w:widowControl/>
              <w:spacing w:line="240" w:lineRule="atLeast"/>
              <w:jc w:val="left"/>
              <w:rPr>
                <w:rFonts w:ascii="仿宋" w:hAnsi="仿宋" w:eastAsia="仿宋" w:cs="仿宋"/>
                <w:color w:val="auto"/>
                <w:kern w:val="0"/>
                <w:highlight w:val="none"/>
              </w:rPr>
            </w:pPr>
            <w:r>
              <w:rPr>
                <w:rFonts w:hint="eastAsia" w:ascii="仿宋" w:hAnsi="仿宋" w:eastAsia="仿宋" w:cs="仿宋"/>
                <w:color w:val="auto"/>
                <w:highlight w:val="none"/>
              </w:rPr>
              <w:t>2019年1月1日（以合同签订时间为准）以来，响应供应商承担过低效用地调查或低效用地再开发同类项目业绩的，每提供一个业绩得3分，最高得12分。（需提供合同复印件并加盖投标单位公章，同一县市区不同年份业绩只计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037" w:type="dxa"/>
            <w:vMerge w:val="continue"/>
            <w:vAlign w:val="center"/>
          </w:tcPr>
          <w:p>
            <w:pPr>
              <w:widowControl/>
              <w:jc w:val="left"/>
              <w:rPr>
                <w:rFonts w:ascii="仿宋" w:hAnsi="仿宋" w:eastAsia="仿宋" w:cs="仿宋"/>
                <w:color w:val="auto"/>
                <w:highlight w:val="none"/>
              </w:rPr>
            </w:pPr>
          </w:p>
        </w:tc>
        <w:tc>
          <w:tcPr>
            <w:tcW w:w="1493" w:type="dxa"/>
            <w:gridSpan w:val="2"/>
            <w:tcBorders>
              <w:left w:val="nil"/>
            </w:tcBorders>
            <w:vAlign w:val="center"/>
          </w:tcPr>
          <w:p>
            <w:pPr>
              <w:widowControl/>
              <w:spacing w:line="240" w:lineRule="atLeast"/>
              <w:jc w:val="center"/>
              <w:rPr>
                <w:rFonts w:ascii="仿宋" w:hAnsi="仿宋" w:eastAsia="仿宋" w:cs="仿宋"/>
                <w:color w:val="auto"/>
                <w:kern w:val="0"/>
                <w:sz w:val="22"/>
                <w:highlight w:val="none"/>
              </w:rPr>
            </w:pPr>
            <w:r>
              <w:rPr>
                <w:rFonts w:hint="eastAsia" w:ascii="仿宋" w:hAnsi="仿宋" w:eastAsia="仿宋" w:cs="仿宋"/>
                <w:color w:val="auto"/>
                <w:kern w:val="0"/>
                <w:sz w:val="22"/>
                <w:szCs w:val="22"/>
                <w:highlight w:val="none"/>
              </w:rPr>
              <w:t>拟派本项目技术力量</w:t>
            </w:r>
          </w:p>
          <w:p>
            <w:pPr>
              <w:widowControl/>
              <w:spacing w:line="240" w:lineRule="atLeast"/>
              <w:jc w:val="center"/>
              <w:rPr>
                <w:rFonts w:ascii="仿宋" w:hAnsi="仿宋" w:eastAsia="仿宋" w:cs="仿宋"/>
                <w:color w:val="auto"/>
                <w:kern w:val="0"/>
                <w:sz w:val="22"/>
                <w:highlight w:val="none"/>
              </w:rPr>
            </w:pPr>
            <w:r>
              <w:rPr>
                <w:rFonts w:hint="eastAsia" w:ascii="仿宋" w:hAnsi="仿宋" w:eastAsia="仿宋" w:cs="仿宋"/>
                <w:color w:val="auto"/>
                <w:kern w:val="0"/>
                <w:sz w:val="22"/>
                <w:szCs w:val="22"/>
                <w:highlight w:val="none"/>
              </w:rPr>
              <w:t>（16分）</w:t>
            </w:r>
          </w:p>
        </w:tc>
        <w:tc>
          <w:tcPr>
            <w:tcW w:w="7168" w:type="dxa"/>
            <w:gridSpan w:val="2"/>
            <w:tcBorders>
              <w:left w:val="nil"/>
            </w:tcBorders>
            <w:vAlign w:val="center"/>
          </w:tcPr>
          <w:p>
            <w:pPr>
              <w:widowControl/>
              <w:numPr>
                <w:ilvl w:val="0"/>
                <w:numId w:val="13"/>
              </w:numPr>
              <w:spacing w:line="240" w:lineRule="atLeast"/>
              <w:jc w:val="left"/>
              <w:rPr>
                <w:rFonts w:ascii="仿宋" w:hAnsi="仿宋" w:eastAsia="仿宋" w:cs="仿宋"/>
                <w:color w:val="auto"/>
                <w:highlight w:val="none"/>
              </w:rPr>
            </w:pPr>
            <w:r>
              <w:rPr>
                <w:rFonts w:hint="eastAsia" w:ascii="仿宋" w:hAnsi="仿宋" w:eastAsia="仿宋" w:cs="仿宋"/>
                <w:color w:val="auto"/>
                <w:highlight w:val="none"/>
              </w:rPr>
              <w:t>拟派项目负责人具有土地类或经济类高级及以上职称的得3分，没有不得分。</w:t>
            </w:r>
          </w:p>
          <w:p>
            <w:pPr>
              <w:widowControl/>
              <w:numPr>
                <w:ilvl w:val="0"/>
                <w:numId w:val="13"/>
              </w:numPr>
              <w:spacing w:line="240" w:lineRule="atLeast"/>
              <w:jc w:val="left"/>
              <w:rPr>
                <w:rFonts w:ascii="仿宋" w:hAnsi="仿宋" w:eastAsia="仿宋" w:cs="仿宋"/>
                <w:color w:val="auto"/>
                <w:highlight w:val="none"/>
              </w:rPr>
            </w:pPr>
            <w:r>
              <w:rPr>
                <w:rFonts w:hint="eastAsia" w:ascii="仿宋" w:hAnsi="仿宋" w:eastAsia="仿宋" w:cs="仿宋"/>
                <w:color w:val="auto"/>
                <w:highlight w:val="none"/>
              </w:rPr>
              <w:t>项目负责人参与过省级城镇低效用地再开发规划和计划技术规范编制的，得3分。</w:t>
            </w:r>
          </w:p>
          <w:p>
            <w:pPr>
              <w:widowControl/>
              <w:spacing w:line="240" w:lineRule="atLeast"/>
              <w:jc w:val="left"/>
              <w:rPr>
                <w:rFonts w:ascii="仿宋" w:hAnsi="仿宋" w:eastAsia="仿宋" w:cs="仿宋"/>
                <w:color w:val="auto"/>
                <w:highlight w:val="none"/>
              </w:rPr>
            </w:pPr>
            <w:r>
              <w:rPr>
                <w:rFonts w:hint="eastAsia" w:ascii="仿宋" w:hAnsi="仿宋" w:eastAsia="仿宋" w:cs="仿宋"/>
                <w:color w:val="auto"/>
                <w:highlight w:val="none"/>
              </w:rPr>
              <w:t>3、投标团队成员中（项目负责人除外），具有土地类或经济类中级职称的，每人得1分；具有高级职称的，每人得2分；最高得10分。</w:t>
            </w:r>
          </w:p>
          <w:p>
            <w:pPr>
              <w:widowControl/>
              <w:spacing w:line="240" w:lineRule="atLeast"/>
              <w:jc w:val="left"/>
              <w:rPr>
                <w:rFonts w:ascii="仿宋" w:hAnsi="仿宋" w:eastAsia="仿宋" w:cs="仿宋"/>
                <w:b/>
                <w:color w:val="auto"/>
                <w:highlight w:val="none"/>
              </w:rPr>
            </w:pPr>
            <w:r>
              <w:rPr>
                <w:rFonts w:hint="eastAsia" w:ascii="仿宋" w:hAnsi="仿宋" w:eastAsia="仿宋" w:cs="仿宋"/>
                <w:b/>
                <w:bCs/>
                <w:color w:val="auto"/>
                <w:highlight w:val="none"/>
              </w:rPr>
              <w:t>注：以上1-3条款：A、须提供项目负责人及团队成员的专业人员职称证书，同时提供社会保障部门出具的最近三个月（自2022年6月-2022年8月）在本单位连续缴纳社会养老保险的缴费清单，可提供官网打印的具有二维码或验证码的缴费清单。B、以上证明资料均需提供复印件并加盖磋商供应商公章，复印件未盖章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9698" w:type="dxa"/>
            <w:gridSpan w:val="5"/>
            <w:vAlign w:val="center"/>
          </w:tcPr>
          <w:p>
            <w:pPr>
              <w:pStyle w:val="67"/>
              <w:snapToGrid w:val="0"/>
              <w:spacing w:line="300" w:lineRule="exact"/>
              <w:ind w:firstLine="315" w:firstLineChars="150"/>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注：上述条款号2.2.2技术商务标的纸质响应</w:t>
            </w:r>
            <w:r>
              <w:rPr>
                <w:rFonts w:hint="eastAsia" w:ascii="仿宋" w:hAnsi="仿宋" w:eastAsia="仿宋" w:cs="仿宋"/>
                <w:bCs/>
                <w:color w:val="auto"/>
                <w:kern w:val="0"/>
                <w:sz w:val="21"/>
                <w:szCs w:val="21"/>
                <w:highlight w:val="none"/>
              </w:rPr>
              <w:t>所有材料需提供清晰的原件复印件并加盖单位公章</w:t>
            </w:r>
            <w:r>
              <w:rPr>
                <w:rFonts w:hint="eastAsia" w:ascii="仿宋" w:hAnsi="仿宋" w:eastAsia="仿宋" w:cs="仿宋"/>
                <w:color w:val="auto"/>
                <w:kern w:val="0"/>
                <w:sz w:val="21"/>
                <w:szCs w:val="21"/>
                <w:highlight w:val="none"/>
              </w:rPr>
              <w:t>，</w:t>
            </w:r>
            <w:r>
              <w:rPr>
                <w:rFonts w:hint="eastAsia" w:ascii="仿宋" w:hAnsi="仿宋" w:eastAsia="仿宋" w:cs="仿宋"/>
                <w:bCs/>
                <w:color w:val="auto"/>
                <w:sz w:val="22"/>
                <w:szCs w:val="22"/>
                <w:highlight w:val="none"/>
              </w:rPr>
              <w:t>投标文件中资料不清晰或资料不全的不予得分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037" w:type="dxa"/>
            <w:vAlign w:val="center"/>
          </w:tcPr>
          <w:p>
            <w:pPr>
              <w:spacing w:line="300" w:lineRule="exact"/>
              <w:jc w:val="center"/>
              <w:rPr>
                <w:rFonts w:ascii="仿宋" w:hAnsi="仿宋" w:eastAsia="仿宋" w:cs="仿宋"/>
                <w:color w:val="auto"/>
                <w:kern w:val="0"/>
                <w:highlight w:val="none"/>
              </w:rPr>
            </w:pPr>
            <w:r>
              <w:rPr>
                <w:rFonts w:hint="eastAsia" w:ascii="仿宋" w:hAnsi="仿宋" w:eastAsia="仿宋" w:cs="仿宋"/>
                <w:color w:val="auto"/>
                <w:kern w:val="0"/>
                <w:highlight w:val="none"/>
              </w:rPr>
              <w:t>2.2.3</w:t>
            </w:r>
          </w:p>
          <w:p>
            <w:pPr>
              <w:spacing w:line="300" w:lineRule="exact"/>
              <w:rPr>
                <w:rFonts w:ascii="仿宋" w:hAnsi="仿宋" w:eastAsia="仿宋" w:cs="仿宋"/>
                <w:color w:val="auto"/>
                <w:kern w:val="0"/>
                <w:highlight w:val="none"/>
              </w:rPr>
            </w:pPr>
            <w:r>
              <w:rPr>
                <w:rFonts w:hint="eastAsia" w:ascii="仿宋" w:hAnsi="仿宋" w:eastAsia="仿宋" w:cs="仿宋"/>
                <w:color w:val="auto"/>
                <w:kern w:val="0"/>
                <w:highlight w:val="none"/>
              </w:rPr>
              <w:t>报价标</w:t>
            </w:r>
          </w:p>
          <w:p>
            <w:pPr>
              <w:spacing w:line="300" w:lineRule="exact"/>
              <w:jc w:val="center"/>
              <w:rPr>
                <w:rFonts w:ascii="仿宋" w:hAnsi="仿宋" w:eastAsia="仿宋" w:cs="仿宋"/>
                <w:color w:val="auto"/>
                <w:kern w:val="0"/>
                <w:highlight w:val="none"/>
              </w:rPr>
            </w:pPr>
            <w:r>
              <w:rPr>
                <w:rFonts w:hint="eastAsia" w:ascii="仿宋" w:hAnsi="仿宋" w:eastAsia="仿宋" w:cs="仿宋"/>
                <w:color w:val="auto"/>
                <w:kern w:val="0"/>
                <w:highlight w:val="none"/>
              </w:rPr>
              <w:t>（20分）</w:t>
            </w:r>
          </w:p>
        </w:tc>
        <w:tc>
          <w:tcPr>
            <w:tcW w:w="1493" w:type="dxa"/>
            <w:gridSpan w:val="2"/>
            <w:tcBorders>
              <w:left w:val="nil"/>
            </w:tcBorders>
            <w:vAlign w:val="center"/>
          </w:tcPr>
          <w:p>
            <w:pPr>
              <w:spacing w:line="300" w:lineRule="exact"/>
              <w:jc w:val="center"/>
              <w:rPr>
                <w:rFonts w:ascii="仿宋" w:hAnsi="仿宋" w:eastAsia="仿宋" w:cs="仿宋"/>
                <w:color w:val="auto"/>
                <w:kern w:val="0"/>
                <w:highlight w:val="none"/>
              </w:rPr>
            </w:pPr>
            <w:r>
              <w:rPr>
                <w:rFonts w:hint="eastAsia" w:ascii="仿宋" w:hAnsi="仿宋" w:eastAsia="仿宋" w:cs="仿宋"/>
                <w:color w:val="auto"/>
                <w:kern w:val="0"/>
                <w:highlight w:val="none"/>
              </w:rPr>
              <w:t>磋商基准价</w:t>
            </w:r>
          </w:p>
        </w:tc>
        <w:tc>
          <w:tcPr>
            <w:tcW w:w="7168" w:type="dxa"/>
            <w:gridSpan w:val="2"/>
            <w:tcBorders>
              <w:left w:val="nil"/>
            </w:tcBorders>
            <w:vAlign w:val="center"/>
          </w:tcPr>
          <w:p>
            <w:pPr>
              <w:rPr>
                <w:rFonts w:ascii="仿宋" w:hAnsi="仿宋" w:eastAsia="仿宋" w:cs="仿宋"/>
                <w:color w:val="auto"/>
                <w:highlight w:val="none"/>
              </w:rPr>
            </w:pPr>
            <w:r>
              <w:rPr>
                <w:rFonts w:hint="eastAsia" w:ascii="仿宋" w:hAnsi="仿宋" w:eastAsia="仿宋" w:cs="仿宋"/>
                <w:color w:val="auto"/>
                <w:highlight w:val="none"/>
              </w:rPr>
              <w:t>满足磋商文件要求且响应价格最低的响应报价为评标基准价，其价格分为满分（20分），其他磋商磋商供应商的价格分统一按照下列公式计算：</w:t>
            </w:r>
          </w:p>
          <w:p>
            <w:pPr>
              <w:rPr>
                <w:rFonts w:ascii="仿宋" w:hAnsi="仿宋" w:eastAsia="仿宋" w:cs="仿宋"/>
                <w:color w:val="auto"/>
                <w:highlight w:val="none"/>
              </w:rPr>
            </w:pPr>
            <w:r>
              <w:rPr>
                <w:rFonts w:hint="eastAsia" w:ascii="仿宋" w:hAnsi="仿宋" w:eastAsia="仿宋" w:cs="仿宋"/>
                <w:color w:val="auto"/>
                <w:highlight w:val="none"/>
              </w:rPr>
              <w:t>响应报价得分=(响应评标基准价／响应报价)×20%*100</w:t>
            </w:r>
          </w:p>
        </w:tc>
      </w:tr>
    </w:tbl>
    <w:p>
      <w:pPr>
        <w:rPr>
          <w:rFonts w:ascii="仿宋" w:hAnsi="仿宋" w:eastAsia="仿宋" w:cs="仿宋"/>
          <w:b/>
          <w:bCs/>
          <w:color w:val="auto"/>
          <w:sz w:val="24"/>
          <w:szCs w:val="24"/>
          <w:highlight w:val="none"/>
        </w:rPr>
      </w:pPr>
    </w:p>
    <w:p>
      <w:pPr>
        <w:rPr>
          <w:rFonts w:ascii="仿宋" w:hAnsi="仿宋" w:eastAsia="仿宋" w:cs="仿宋"/>
          <w:bCs/>
          <w:color w:val="auto"/>
          <w:sz w:val="22"/>
          <w:szCs w:val="22"/>
          <w:highlight w:val="none"/>
        </w:rPr>
      </w:pPr>
      <w:r>
        <w:rPr>
          <w:rFonts w:hint="eastAsia" w:ascii="仿宋" w:hAnsi="仿宋" w:eastAsia="仿宋" w:cs="仿宋"/>
          <w:bCs/>
          <w:color w:val="auto"/>
          <w:sz w:val="22"/>
          <w:szCs w:val="22"/>
          <w:highlight w:val="none"/>
        </w:rPr>
        <w:t>五、未尽事宜由评标委员会决定。</w:t>
      </w:r>
    </w:p>
    <w:p>
      <w:pP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br w:type="page"/>
      </w:r>
    </w:p>
    <w:p>
      <w:pPr>
        <w:pStyle w:val="65"/>
        <w:jc w:val="both"/>
        <w:rPr>
          <w:rFonts w:ascii="仿宋" w:hAnsi="仿宋" w:eastAsia="仿宋" w:cs="仿宋"/>
          <w:color w:val="auto"/>
          <w:kern w:val="0"/>
          <w:sz w:val="21"/>
          <w:szCs w:val="21"/>
          <w:highlight w:val="none"/>
        </w:rPr>
      </w:pPr>
    </w:p>
    <w:p>
      <w:pPr>
        <w:widowControl/>
        <w:ind w:firstLine="1280" w:firstLineChars="400"/>
        <w:jc w:val="left"/>
        <w:rPr>
          <w:rFonts w:ascii="仿宋" w:hAnsi="仿宋" w:eastAsia="仿宋" w:cs="仿宋"/>
          <w:color w:val="auto"/>
          <w:sz w:val="24"/>
          <w:szCs w:val="24"/>
          <w:highlight w:val="none"/>
        </w:rPr>
      </w:pPr>
      <w:r>
        <w:rPr>
          <w:rFonts w:hint="eastAsia" w:ascii="仿宋" w:hAnsi="仿宋" w:eastAsia="仿宋" w:cs="仿宋"/>
          <w:color w:val="auto"/>
          <w:sz w:val="32"/>
          <w:szCs w:val="32"/>
          <w:highlight w:val="none"/>
        </w:rPr>
        <w:t>第七章竞争性供应商响应文件组成</w:t>
      </w:r>
    </w:p>
    <w:p>
      <w:pPr>
        <w:spacing w:line="360" w:lineRule="auto"/>
        <w:rPr>
          <w:rFonts w:ascii="仿宋" w:hAnsi="仿宋" w:eastAsia="仿宋" w:cs="仿宋"/>
          <w:color w:val="auto"/>
          <w:sz w:val="24"/>
          <w:szCs w:val="24"/>
          <w:highlight w:val="none"/>
        </w:rPr>
      </w:pPr>
    </w:p>
    <w:p>
      <w:pPr>
        <w:pStyle w:val="6"/>
        <w:spacing w:line="360" w:lineRule="auto"/>
        <w:jc w:val="center"/>
        <w:rPr>
          <w:rFonts w:ascii="仿宋" w:hAnsi="仿宋" w:eastAsia="仿宋" w:cs="仿宋"/>
          <w:color w:val="auto"/>
          <w:sz w:val="28"/>
          <w:szCs w:val="28"/>
          <w:highlight w:val="none"/>
        </w:rPr>
      </w:pPr>
      <w:bookmarkStart w:id="126" w:name="_Toc482189588"/>
      <w:bookmarkEnd w:id="126"/>
      <w:bookmarkStart w:id="127" w:name="_Toc482192402"/>
      <w:r>
        <w:rPr>
          <w:rFonts w:hint="eastAsia" w:ascii="仿宋" w:hAnsi="仿宋" w:eastAsia="仿宋" w:cs="仿宋"/>
          <w:color w:val="auto"/>
          <w:sz w:val="28"/>
          <w:szCs w:val="28"/>
          <w:highlight w:val="none"/>
        </w:rPr>
        <w:t>封面</w:t>
      </w:r>
      <w:bookmarkEnd w:id="127"/>
    </w:p>
    <w:p>
      <w:pPr>
        <w:spacing w:line="360" w:lineRule="auto"/>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竞争性供应商响应文件</w:t>
      </w:r>
    </w:p>
    <w:p>
      <w:pPr>
        <w:spacing w:line="360" w:lineRule="auto"/>
        <w:jc w:val="left"/>
        <w:rPr>
          <w:rFonts w:ascii="仿宋" w:hAnsi="仿宋" w:eastAsia="仿宋" w:cs="仿宋"/>
          <w:b/>
          <w:bCs/>
          <w:color w:val="auto"/>
          <w:kern w:val="0"/>
          <w:sz w:val="24"/>
          <w:szCs w:val="24"/>
          <w:highlight w:val="none"/>
        </w:rPr>
      </w:pPr>
    </w:p>
    <w:p>
      <w:pPr>
        <w:pStyle w:val="66"/>
        <w:ind w:firstLine="0"/>
        <w:jc w:val="center"/>
        <w:rPr>
          <w:rFonts w:ascii="仿宋" w:hAnsi="仿宋" w:eastAsia="仿宋" w:cs="仿宋"/>
          <w:b/>
          <w:bCs/>
          <w:color w:val="auto"/>
          <w:sz w:val="28"/>
          <w:szCs w:val="28"/>
          <w:highlight w:val="none"/>
        </w:rPr>
      </w:pPr>
      <w:r>
        <w:rPr>
          <w:rFonts w:hint="eastAsia" w:ascii="仿宋" w:hAnsi="仿宋" w:eastAsia="仿宋" w:cs="仿宋"/>
          <w:color w:val="auto"/>
          <w:sz w:val="28"/>
          <w:szCs w:val="28"/>
          <w:highlight w:val="none"/>
          <w:u w:val="single"/>
        </w:rPr>
        <w:t>资格证明材料包/技术标包/报价标包</w:t>
      </w:r>
    </w:p>
    <w:p>
      <w:pPr>
        <w:spacing w:line="360" w:lineRule="auto"/>
        <w:jc w:val="left"/>
        <w:rPr>
          <w:rFonts w:ascii="仿宋" w:hAnsi="仿宋" w:eastAsia="仿宋" w:cs="仿宋"/>
          <w:b/>
          <w:bCs/>
          <w:color w:val="auto"/>
          <w:kern w:val="0"/>
          <w:sz w:val="28"/>
          <w:szCs w:val="28"/>
          <w:highlight w:val="none"/>
        </w:rPr>
      </w:pPr>
    </w:p>
    <w:p>
      <w:pPr>
        <w:spacing w:line="360" w:lineRule="auto"/>
        <w:jc w:val="left"/>
        <w:rPr>
          <w:rFonts w:ascii="仿宋" w:hAnsi="仿宋" w:eastAsia="仿宋" w:cs="仿宋"/>
          <w:b/>
          <w:bCs/>
          <w:color w:val="auto"/>
          <w:kern w:val="0"/>
          <w:sz w:val="28"/>
          <w:szCs w:val="28"/>
          <w:highlight w:val="none"/>
        </w:rPr>
      </w:pPr>
    </w:p>
    <w:p>
      <w:pPr>
        <w:spacing w:line="360" w:lineRule="auto"/>
        <w:ind w:firstLine="840" w:firstLineChars="300"/>
        <w:rPr>
          <w:rFonts w:ascii="仿宋" w:hAnsi="仿宋" w:eastAsia="仿宋" w:cs="仿宋"/>
          <w:b/>
          <w:bCs/>
          <w:color w:val="auto"/>
          <w:sz w:val="28"/>
          <w:szCs w:val="28"/>
          <w:highlight w:val="none"/>
        </w:rPr>
      </w:pPr>
    </w:p>
    <w:p>
      <w:pPr>
        <w:spacing w:line="360" w:lineRule="auto"/>
        <w:ind w:firstLine="840" w:firstLineChars="300"/>
        <w:rPr>
          <w:rFonts w:ascii="仿宋" w:hAnsi="仿宋" w:eastAsia="仿宋" w:cs="仿宋"/>
          <w:b/>
          <w:bCs/>
          <w:color w:val="auto"/>
          <w:sz w:val="28"/>
          <w:szCs w:val="28"/>
          <w:highlight w:val="none"/>
        </w:rPr>
      </w:pPr>
    </w:p>
    <w:p>
      <w:pPr>
        <w:spacing w:line="360" w:lineRule="auto"/>
        <w:ind w:firstLine="840" w:firstLineChars="3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项目名称：</w:t>
      </w:r>
    </w:p>
    <w:p>
      <w:pPr>
        <w:spacing w:line="360" w:lineRule="auto"/>
        <w:ind w:firstLine="840" w:firstLineChars="300"/>
        <w:rPr>
          <w:rFonts w:ascii="仿宋" w:hAnsi="仿宋" w:eastAsia="仿宋" w:cs="仿宋"/>
          <w:b/>
          <w:bCs/>
          <w:color w:val="auto"/>
          <w:sz w:val="28"/>
          <w:szCs w:val="28"/>
          <w:highlight w:val="none"/>
          <w:u w:val="single"/>
        </w:rPr>
      </w:pPr>
      <w:r>
        <w:rPr>
          <w:rFonts w:hint="eastAsia" w:ascii="仿宋" w:hAnsi="仿宋" w:eastAsia="仿宋" w:cs="仿宋"/>
          <w:b/>
          <w:bCs/>
          <w:color w:val="auto"/>
          <w:sz w:val="28"/>
          <w:szCs w:val="28"/>
          <w:highlight w:val="none"/>
        </w:rPr>
        <w:t>项目编号：</w:t>
      </w:r>
    </w:p>
    <w:p>
      <w:pPr>
        <w:spacing w:line="360" w:lineRule="auto"/>
        <w:ind w:firstLine="840" w:firstLineChars="3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磋商供应商名称：</w:t>
      </w:r>
    </w:p>
    <w:p>
      <w:pPr>
        <w:spacing w:line="360" w:lineRule="auto"/>
        <w:ind w:firstLine="966" w:firstLineChars="345"/>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日期：</w:t>
      </w:r>
    </w:p>
    <w:p>
      <w:pPr>
        <w:pStyle w:val="66"/>
        <w:ind w:firstLine="1848" w:firstLineChars="770"/>
        <w:rPr>
          <w:rFonts w:ascii="仿宋" w:hAnsi="仿宋" w:eastAsia="仿宋" w:cs="仿宋"/>
          <w:color w:val="auto"/>
          <w:kern w:val="2"/>
          <w:highlight w:val="none"/>
        </w:rPr>
      </w:pPr>
    </w:p>
    <w:p>
      <w:pPr>
        <w:pStyle w:val="66"/>
        <w:ind w:firstLine="1848" w:firstLineChars="770"/>
        <w:rPr>
          <w:rFonts w:ascii="仿宋" w:hAnsi="仿宋" w:eastAsia="仿宋" w:cs="仿宋"/>
          <w:color w:val="auto"/>
          <w:kern w:val="2"/>
          <w:highlight w:val="none"/>
        </w:rPr>
      </w:pPr>
    </w:p>
    <w:p>
      <w:pPr>
        <w:snapToGrid w:val="0"/>
        <w:spacing w:line="360" w:lineRule="auto"/>
        <w:jc w:val="center"/>
        <w:outlineLvl w:val="0"/>
        <w:rPr>
          <w:rFonts w:ascii="仿宋" w:hAnsi="仿宋" w:eastAsia="仿宋" w:cs="仿宋"/>
          <w:color w:val="auto"/>
          <w:sz w:val="24"/>
          <w:szCs w:val="24"/>
          <w:highlight w:val="none"/>
        </w:rPr>
      </w:pPr>
      <w:bookmarkStart w:id="128" w:name="_Toc438651224"/>
      <w:bookmarkEnd w:id="128"/>
    </w:p>
    <w:p>
      <w:pPr>
        <w:snapToGrid w:val="0"/>
        <w:spacing w:line="360" w:lineRule="auto"/>
        <w:jc w:val="center"/>
        <w:outlineLvl w:val="0"/>
        <w:rPr>
          <w:rFonts w:ascii="仿宋" w:hAnsi="仿宋" w:eastAsia="仿宋" w:cs="仿宋"/>
          <w:color w:val="auto"/>
          <w:sz w:val="24"/>
          <w:szCs w:val="24"/>
          <w:highlight w:val="none"/>
        </w:rPr>
      </w:pPr>
    </w:p>
    <w:p>
      <w:pPr>
        <w:snapToGrid w:val="0"/>
        <w:spacing w:line="360" w:lineRule="auto"/>
        <w:jc w:val="center"/>
        <w:outlineLvl w:val="0"/>
        <w:rPr>
          <w:rFonts w:ascii="仿宋" w:hAnsi="仿宋" w:eastAsia="仿宋" w:cs="仿宋"/>
          <w:color w:val="auto"/>
          <w:sz w:val="24"/>
          <w:szCs w:val="24"/>
          <w:highlight w:val="none"/>
        </w:rPr>
      </w:pPr>
    </w:p>
    <w:p>
      <w:pPr>
        <w:pStyle w:val="3"/>
        <w:rPr>
          <w:rFonts w:ascii="仿宋" w:hAnsi="仿宋" w:eastAsia="仿宋" w:cs="仿宋"/>
          <w:color w:val="auto"/>
          <w:sz w:val="24"/>
          <w:szCs w:val="24"/>
          <w:highlight w:val="none"/>
        </w:rPr>
      </w:pPr>
    </w:p>
    <w:p>
      <w:pPr>
        <w:snapToGrid w:val="0"/>
        <w:spacing w:line="360" w:lineRule="auto"/>
        <w:ind w:firstLine="1960" w:firstLineChars="700"/>
        <w:outlineLvl w:val="0"/>
        <w:rPr>
          <w:rFonts w:ascii="仿宋" w:hAnsi="仿宋" w:eastAsia="仿宋" w:cs="仿宋"/>
          <w:color w:val="auto"/>
          <w:sz w:val="28"/>
          <w:szCs w:val="28"/>
          <w:highlight w:val="none"/>
        </w:rPr>
      </w:pPr>
    </w:p>
    <w:p>
      <w:pPr>
        <w:snapToGrid w:val="0"/>
        <w:spacing w:line="360" w:lineRule="auto"/>
        <w:ind w:firstLine="1960" w:firstLineChars="700"/>
        <w:outlineLvl w:val="0"/>
        <w:rPr>
          <w:rFonts w:ascii="仿宋" w:hAnsi="仿宋" w:eastAsia="仿宋" w:cs="仿宋"/>
          <w:color w:val="auto"/>
          <w:sz w:val="28"/>
          <w:szCs w:val="28"/>
          <w:highlight w:val="none"/>
        </w:rPr>
      </w:pPr>
    </w:p>
    <w:p>
      <w:pPr>
        <w:snapToGrid w:val="0"/>
        <w:spacing w:line="360" w:lineRule="auto"/>
        <w:ind w:firstLine="1960" w:firstLineChars="700"/>
        <w:outlineLvl w:val="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第一部分资格审查材料内容</w:t>
      </w:r>
    </w:p>
    <w:p>
      <w:pPr>
        <w:autoSpaceDE w:val="0"/>
        <w:autoSpaceDN w:val="0"/>
        <w:adjustRightInd w:val="0"/>
        <w:spacing w:line="360" w:lineRule="auto"/>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目录</w:t>
      </w:r>
    </w:p>
    <w:tbl>
      <w:tblPr>
        <w:tblStyle w:val="22"/>
        <w:tblW w:w="9229" w:type="dxa"/>
        <w:jc w:val="center"/>
        <w:tblLayout w:type="fixed"/>
        <w:tblCellMar>
          <w:top w:w="0" w:type="dxa"/>
          <w:left w:w="108" w:type="dxa"/>
          <w:bottom w:w="0" w:type="dxa"/>
          <w:right w:w="108" w:type="dxa"/>
        </w:tblCellMar>
      </w:tblPr>
      <w:tblGrid>
        <w:gridCol w:w="760"/>
        <w:gridCol w:w="6160"/>
        <w:gridCol w:w="2309"/>
      </w:tblGrid>
      <w:tr>
        <w:tblPrEx>
          <w:tblCellMar>
            <w:top w:w="0" w:type="dxa"/>
            <w:left w:w="108" w:type="dxa"/>
            <w:bottom w:w="0" w:type="dxa"/>
            <w:right w:w="108" w:type="dxa"/>
          </w:tblCellMar>
        </w:tblPrEx>
        <w:trPr>
          <w:trHeight w:val="570"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highlight w:val="none"/>
              </w:rPr>
            </w:pPr>
            <w:r>
              <w:rPr>
                <w:rFonts w:hint="eastAsia" w:ascii="仿宋" w:hAnsi="仿宋" w:eastAsia="仿宋" w:cs="仿宋"/>
                <w:color w:val="auto"/>
                <w:kern w:val="0"/>
                <w:highlight w:val="none"/>
              </w:rPr>
              <w:t>序号</w:t>
            </w:r>
          </w:p>
        </w:tc>
        <w:tc>
          <w:tcPr>
            <w:tcW w:w="61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highlight w:val="none"/>
              </w:rPr>
            </w:pPr>
            <w:r>
              <w:rPr>
                <w:rFonts w:hint="eastAsia" w:ascii="仿宋" w:hAnsi="仿宋" w:eastAsia="仿宋" w:cs="仿宋"/>
                <w:color w:val="auto"/>
                <w:kern w:val="0"/>
                <w:highlight w:val="none"/>
              </w:rPr>
              <w:t>材料明细</w:t>
            </w:r>
          </w:p>
        </w:tc>
        <w:tc>
          <w:tcPr>
            <w:tcW w:w="2309"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仿宋"/>
                <w:color w:val="auto"/>
                <w:kern w:val="0"/>
                <w:highlight w:val="none"/>
              </w:rPr>
            </w:pPr>
            <w:r>
              <w:rPr>
                <w:rFonts w:hint="eastAsia" w:ascii="仿宋" w:hAnsi="仿宋" w:eastAsia="仿宋" w:cs="仿宋"/>
                <w:color w:val="auto"/>
                <w:kern w:val="0"/>
                <w:highlight w:val="none"/>
              </w:rPr>
              <w:t>是否符合（打√）</w:t>
            </w:r>
          </w:p>
        </w:tc>
      </w:tr>
      <w:tr>
        <w:tblPrEx>
          <w:tblCellMar>
            <w:top w:w="0" w:type="dxa"/>
            <w:left w:w="108" w:type="dxa"/>
            <w:bottom w:w="0" w:type="dxa"/>
            <w:right w:w="108" w:type="dxa"/>
          </w:tblCellMar>
        </w:tblPrEx>
        <w:trPr>
          <w:trHeight w:val="725"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10" w:firstLineChars="100"/>
              <w:jc w:val="left"/>
              <w:rPr>
                <w:rFonts w:ascii="仿宋" w:hAnsi="仿宋" w:eastAsia="仿宋" w:cs="仿宋"/>
                <w:color w:val="auto"/>
                <w:kern w:val="0"/>
                <w:highlight w:val="none"/>
              </w:rPr>
            </w:pPr>
            <w:r>
              <w:rPr>
                <w:rFonts w:hint="eastAsia" w:ascii="仿宋" w:hAnsi="仿宋" w:eastAsia="仿宋" w:cs="仿宋"/>
                <w:color w:val="auto"/>
                <w:kern w:val="0"/>
                <w:highlight w:val="none"/>
              </w:rPr>
              <w:t>1</w:t>
            </w:r>
          </w:p>
        </w:tc>
        <w:tc>
          <w:tcPr>
            <w:tcW w:w="6160" w:type="dxa"/>
            <w:tcBorders>
              <w:top w:val="single" w:color="auto" w:sz="4" w:space="0"/>
              <w:left w:val="nil"/>
              <w:bottom w:val="single" w:color="auto" w:sz="4" w:space="0"/>
              <w:right w:val="single" w:color="auto" w:sz="4" w:space="0"/>
            </w:tcBorders>
          </w:tcPr>
          <w:p>
            <w:pPr>
              <w:widowControl/>
              <w:jc w:val="left"/>
              <w:rPr>
                <w:rFonts w:ascii="仿宋" w:hAnsi="仿宋" w:eastAsia="仿宋" w:cs="仿宋"/>
                <w:color w:val="auto"/>
                <w:kern w:val="0"/>
                <w:highlight w:val="none"/>
              </w:rPr>
            </w:pPr>
            <w:r>
              <w:rPr>
                <w:rFonts w:hint="eastAsia" w:ascii="仿宋" w:hAnsi="仿宋" w:eastAsia="仿宋" w:cs="仿宋"/>
                <w:color w:val="auto"/>
                <w:kern w:val="0"/>
                <w:sz w:val="22"/>
                <w:szCs w:val="22"/>
                <w:highlight w:val="none"/>
              </w:rPr>
              <w:t>供应商法定代表人参加的，必须提供法定代表人身份证明及法定代表人本人身份证复印件（格式参见第七章）；非法定代表人参加的，必须提供法定代表人签字或盖章的授权委托书及法定代表人、被授权人的两人身份证的复印件（格式参见第七章）；</w:t>
            </w:r>
          </w:p>
        </w:tc>
        <w:tc>
          <w:tcPr>
            <w:tcW w:w="23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highlight w:val="none"/>
              </w:rPr>
            </w:pPr>
            <w:r>
              <w:rPr>
                <w:rFonts w:hint="eastAsia" w:ascii="仿宋" w:hAnsi="仿宋" w:eastAsia="仿宋" w:cs="仿宋"/>
                <w:color w:val="auto"/>
                <w:kern w:val="0"/>
                <w:highlight w:val="none"/>
              </w:rPr>
              <w:t>　</w:t>
            </w:r>
          </w:p>
        </w:tc>
      </w:tr>
      <w:tr>
        <w:tblPrEx>
          <w:tblCellMar>
            <w:top w:w="0" w:type="dxa"/>
            <w:left w:w="108" w:type="dxa"/>
            <w:bottom w:w="0" w:type="dxa"/>
            <w:right w:w="108" w:type="dxa"/>
          </w:tblCellMar>
        </w:tblPrEx>
        <w:trPr>
          <w:trHeight w:val="455"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10" w:firstLineChars="100"/>
              <w:jc w:val="left"/>
              <w:rPr>
                <w:rFonts w:ascii="仿宋" w:hAnsi="仿宋" w:eastAsia="仿宋" w:cs="仿宋"/>
                <w:color w:val="auto"/>
                <w:kern w:val="0"/>
                <w:highlight w:val="none"/>
              </w:rPr>
            </w:pPr>
            <w:r>
              <w:rPr>
                <w:rFonts w:hint="eastAsia" w:ascii="仿宋" w:hAnsi="仿宋" w:eastAsia="仿宋" w:cs="仿宋"/>
                <w:color w:val="auto"/>
                <w:kern w:val="0"/>
                <w:highlight w:val="none"/>
              </w:rPr>
              <w:t>2</w:t>
            </w:r>
          </w:p>
        </w:tc>
        <w:tc>
          <w:tcPr>
            <w:tcW w:w="6160" w:type="dxa"/>
            <w:tcBorders>
              <w:top w:val="single" w:color="auto" w:sz="4" w:space="0"/>
              <w:left w:val="nil"/>
              <w:bottom w:val="single" w:color="auto" w:sz="4" w:space="0"/>
              <w:right w:val="single" w:color="auto" w:sz="4" w:space="0"/>
            </w:tcBorders>
          </w:tcPr>
          <w:p>
            <w:pPr>
              <w:spacing w:line="360" w:lineRule="auto"/>
              <w:rPr>
                <w:rFonts w:ascii="仿宋" w:hAnsi="仿宋" w:eastAsia="仿宋" w:cs="仿宋"/>
                <w:color w:val="auto"/>
                <w:highlight w:val="none"/>
              </w:rPr>
            </w:pPr>
            <w:r>
              <w:rPr>
                <w:rFonts w:hint="eastAsia" w:ascii="仿宋" w:hAnsi="仿宋" w:eastAsia="仿宋" w:cs="仿宋"/>
                <w:color w:val="auto"/>
                <w:kern w:val="0"/>
                <w:sz w:val="22"/>
                <w:szCs w:val="22"/>
                <w:highlight w:val="none"/>
              </w:rPr>
              <w:t>法人或者其他组织的营业执照等证明文件，自然人的身份证明。</w:t>
            </w:r>
          </w:p>
        </w:tc>
        <w:tc>
          <w:tcPr>
            <w:tcW w:w="23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highlight w:val="none"/>
              </w:rPr>
            </w:pPr>
          </w:p>
        </w:tc>
      </w:tr>
      <w:tr>
        <w:tblPrEx>
          <w:tblCellMar>
            <w:top w:w="0" w:type="dxa"/>
            <w:left w:w="108" w:type="dxa"/>
            <w:bottom w:w="0" w:type="dxa"/>
            <w:right w:w="108" w:type="dxa"/>
          </w:tblCellMar>
        </w:tblPrEx>
        <w:trPr>
          <w:trHeight w:val="455"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10" w:firstLineChars="100"/>
              <w:jc w:val="left"/>
              <w:rPr>
                <w:rFonts w:ascii="仿宋" w:hAnsi="仿宋" w:eastAsia="仿宋" w:cs="仿宋"/>
                <w:color w:val="auto"/>
                <w:kern w:val="0"/>
                <w:highlight w:val="none"/>
              </w:rPr>
            </w:pPr>
            <w:r>
              <w:rPr>
                <w:rFonts w:hint="eastAsia" w:ascii="仿宋" w:hAnsi="仿宋" w:eastAsia="仿宋" w:cs="仿宋"/>
                <w:color w:val="auto"/>
                <w:kern w:val="0"/>
                <w:highlight w:val="none"/>
              </w:rPr>
              <w:t>3</w:t>
            </w:r>
          </w:p>
        </w:tc>
        <w:tc>
          <w:tcPr>
            <w:tcW w:w="6160" w:type="dxa"/>
            <w:tcBorders>
              <w:top w:val="single" w:color="auto" w:sz="4" w:space="0"/>
              <w:left w:val="nil"/>
              <w:bottom w:val="single" w:color="auto" w:sz="4" w:space="0"/>
              <w:right w:val="single" w:color="auto" w:sz="4" w:space="0"/>
            </w:tcBorders>
          </w:tcPr>
          <w:p>
            <w:pPr>
              <w:widowControl/>
              <w:jc w:val="left"/>
              <w:rPr>
                <w:rFonts w:ascii="仿宋" w:hAnsi="仿宋" w:eastAsia="仿宋" w:cs="仿宋"/>
                <w:color w:val="auto"/>
                <w:highlight w:val="none"/>
              </w:rPr>
            </w:pPr>
            <w:r>
              <w:rPr>
                <w:rFonts w:hint="eastAsia" w:ascii="仿宋" w:hAnsi="仿宋" w:eastAsia="仿宋" w:cs="仿宋"/>
                <w:color w:val="auto"/>
                <w:kern w:val="0"/>
                <w:highlight w:val="none"/>
              </w:rPr>
              <w:t>响应供应商符合《政府采购法》第二十二条规定条件的声明函（按磋商文件后附格式）；</w:t>
            </w:r>
          </w:p>
        </w:tc>
        <w:tc>
          <w:tcPr>
            <w:tcW w:w="23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highlight w:val="none"/>
              </w:rPr>
            </w:pPr>
          </w:p>
        </w:tc>
      </w:tr>
      <w:tr>
        <w:tblPrEx>
          <w:tblCellMar>
            <w:top w:w="0" w:type="dxa"/>
            <w:left w:w="108" w:type="dxa"/>
            <w:bottom w:w="0" w:type="dxa"/>
            <w:right w:w="108" w:type="dxa"/>
          </w:tblCellMar>
        </w:tblPrEx>
        <w:trPr>
          <w:trHeight w:val="1055"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10" w:firstLineChars="100"/>
              <w:jc w:val="left"/>
              <w:rPr>
                <w:rFonts w:ascii="仿宋" w:hAnsi="仿宋" w:eastAsia="仿宋" w:cs="仿宋"/>
                <w:color w:val="auto"/>
                <w:kern w:val="0"/>
                <w:highlight w:val="none"/>
              </w:rPr>
            </w:pPr>
            <w:r>
              <w:rPr>
                <w:rFonts w:hint="eastAsia" w:ascii="仿宋" w:hAnsi="仿宋" w:eastAsia="仿宋" w:cs="仿宋"/>
                <w:color w:val="auto"/>
                <w:kern w:val="0"/>
                <w:highlight w:val="none"/>
              </w:rPr>
              <w:t>4</w:t>
            </w:r>
          </w:p>
        </w:tc>
        <w:tc>
          <w:tcPr>
            <w:tcW w:w="616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color w:val="auto"/>
                <w:highlight w:val="none"/>
              </w:rPr>
            </w:pPr>
            <w:r>
              <w:rPr>
                <w:rFonts w:hint="eastAsia" w:ascii="仿宋" w:hAnsi="仿宋" w:eastAsia="仿宋" w:cs="仿宋"/>
                <w:color w:val="auto"/>
                <w:highlight w:val="none"/>
              </w:rPr>
              <w:t>响应供应商未被“信用中国”网站、中国政府采购网、国家企业信用信息公示系统列入失信被执行人、重大税收违法案件当事人名单、政府采购严重违法失信行为记录名单、异常经营名录、严重违法失信企业名单；为确保政府采购守法供应商公平参加政府采购活动，采购代理机构将在开标开始后一个小时内，通过“信用中国”网站和中国政府采购网和国家企业信用信息公示系统对供应商信用信息进行查询查证，并将查询记录截屏打印保存在采购档案内。如核实未通过，经磋商小组确认后资格审查不予通过。</w:t>
            </w:r>
          </w:p>
        </w:tc>
        <w:tc>
          <w:tcPr>
            <w:tcW w:w="2309"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s="仿宋"/>
                <w:color w:val="auto"/>
                <w:kern w:val="0"/>
                <w:highlight w:val="none"/>
              </w:rPr>
            </w:pPr>
          </w:p>
        </w:tc>
      </w:tr>
      <w:tr>
        <w:tblPrEx>
          <w:tblCellMar>
            <w:top w:w="0" w:type="dxa"/>
            <w:left w:w="108" w:type="dxa"/>
            <w:bottom w:w="0" w:type="dxa"/>
            <w:right w:w="108" w:type="dxa"/>
          </w:tblCellMar>
        </w:tblPrEx>
        <w:trPr>
          <w:trHeight w:val="606"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10" w:firstLineChars="100"/>
              <w:jc w:val="left"/>
              <w:rPr>
                <w:rFonts w:ascii="仿宋" w:hAnsi="仿宋" w:eastAsia="仿宋" w:cs="仿宋"/>
                <w:color w:val="auto"/>
                <w:kern w:val="0"/>
                <w:highlight w:val="none"/>
              </w:rPr>
            </w:pPr>
            <w:r>
              <w:rPr>
                <w:rFonts w:hint="eastAsia" w:ascii="仿宋" w:hAnsi="仿宋" w:eastAsia="仿宋" w:cs="仿宋"/>
                <w:color w:val="auto"/>
                <w:kern w:val="0"/>
                <w:highlight w:val="none"/>
              </w:rPr>
              <w:t>5</w:t>
            </w:r>
          </w:p>
        </w:tc>
        <w:tc>
          <w:tcPr>
            <w:tcW w:w="616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color w:val="auto"/>
                <w:highlight w:val="none"/>
              </w:rPr>
            </w:pPr>
            <w:r>
              <w:rPr>
                <w:rFonts w:hint="eastAsia" w:ascii="仿宋" w:hAnsi="仿宋" w:eastAsia="仿宋" w:cs="仿宋"/>
                <w:bCs/>
                <w:color w:val="auto"/>
                <w:sz w:val="22"/>
                <w:szCs w:val="22"/>
                <w:highlight w:val="none"/>
              </w:rPr>
              <w:t xml:space="preserve">响应供应商具有江苏省土地规划机构评价推荐证书丙级（含）以上资质，提供有效证书原件复印件。  </w:t>
            </w:r>
          </w:p>
        </w:tc>
        <w:tc>
          <w:tcPr>
            <w:tcW w:w="2309"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s="仿宋"/>
                <w:color w:val="auto"/>
                <w:kern w:val="0"/>
                <w:highlight w:val="none"/>
              </w:rPr>
            </w:pPr>
          </w:p>
        </w:tc>
      </w:tr>
      <w:tr>
        <w:tblPrEx>
          <w:tblCellMar>
            <w:top w:w="0" w:type="dxa"/>
            <w:left w:w="108" w:type="dxa"/>
            <w:bottom w:w="0" w:type="dxa"/>
            <w:right w:w="108" w:type="dxa"/>
          </w:tblCellMar>
        </w:tblPrEx>
        <w:trPr>
          <w:trHeight w:val="753"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10" w:firstLineChars="100"/>
              <w:jc w:val="left"/>
              <w:rPr>
                <w:rFonts w:ascii="仿宋" w:hAnsi="仿宋" w:eastAsia="仿宋" w:cs="仿宋"/>
                <w:color w:val="auto"/>
                <w:kern w:val="0"/>
                <w:highlight w:val="none"/>
              </w:rPr>
            </w:pPr>
            <w:r>
              <w:rPr>
                <w:rFonts w:hint="eastAsia" w:ascii="仿宋" w:hAnsi="仿宋" w:eastAsia="仿宋" w:cs="仿宋"/>
                <w:color w:val="auto"/>
                <w:kern w:val="0"/>
                <w:highlight w:val="none"/>
              </w:rPr>
              <w:t>6</w:t>
            </w:r>
          </w:p>
        </w:tc>
        <w:tc>
          <w:tcPr>
            <w:tcW w:w="6160" w:type="dxa"/>
            <w:tcBorders>
              <w:top w:val="single" w:color="auto" w:sz="4" w:space="0"/>
              <w:left w:val="nil"/>
              <w:bottom w:val="single" w:color="auto" w:sz="4" w:space="0"/>
              <w:right w:val="single" w:color="auto" w:sz="4" w:space="0"/>
            </w:tcBorders>
            <w:vAlign w:val="center"/>
          </w:tcPr>
          <w:p>
            <w:pPr>
              <w:pStyle w:val="9"/>
              <w:spacing w:line="320" w:lineRule="exact"/>
              <w:rPr>
                <w:rFonts w:ascii="仿宋" w:hAnsi="仿宋" w:eastAsia="仿宋" w:cs="仿宋"/>
                <w:color w:val="auto"/>
                <w:kern w:val="2"/>
                <w:highlight w:val="none"/>
              </w:rPr>
            </w:pPr>
            <w:r>
              <w:rPr>
                <w:rFonts w:hint="eastAsia" w:ascii="仿宋" w:hAnsi="仿宋" w:eastAsia="仿宋" w:cs="仿宋"/>
                <w:bCs/>
                <w:color w:val="auto"/>
                <w:kern w:val="2"/>
                <w:sz w:val="22"/>
                <w:szCs w:val="22"/>
                <w:highlight w:val="none"/>
              </w:rPr>
              <w:t>提供加盖响应供应商原件章的中小企业声明函（按磋商文件第七章后附格式）。</w:t>
            </w:r>
          </w:p>
        </w:tc>
        <w:tc>
          <w:tcPr>
            <w:tcW w:w="2309"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s="仿宋"/>
                <w:color w:val="auto"/>
                <w:kern w:val="0"/>
                <w:highlight w:val="none"/>
              </w:rPr>
            </w:pPr>
          </w:p>
        </w:tc>
      </w:tr>
      <w:tr>
        <w:tblPrEx>
          <w:tblCellMar>
            <w:top w:w="0" w:type="dxa"/>
            <w:left w:w="108" w:type="dxa"/>
            <w:bottom w:w="0" w:type="dxa"/>
            <w:right w:w="108" w:type="dxa"/>
          </w:tblCellMar>
        </w:tblPrEx>
        <w:trPr>
          <w:trHeight w:val="554"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20" w:firstLineChars="100"/>
              <w:jc w:val="left"/>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7</w:t>
            </w:r>
          </w:p>
        </w:tc>
        <w:tc>
          <w:tcPr>
            <w:tcW w:w="6160"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auto"/>
                <w:kern w:val="0"/>
                <w:sz w:val="22"/>
                <w:szCs w:val="22"/>
                <w:highlight w:val="none"/>
              </w:rPr>
            </w:pPr>
            <w:r>
              <w:rPr>
                <w:rFonts w:hint="eastAsia" w:ascii="仿宋" w:hAnsi="仿宋" w:eastAsia="仿宋" w:cs="仿宋"/>
                <w:color w:val="auto"/>
                <w:sz w:val="22"/>
                <w:szCs w:val="22"/>
                <w:highlight w:val="none"/>
              </w:rPr>
              <w:t>磋商供应商认为其他必要的材料</w:t>
            </w:r>
          </w:p>
        </w:tc>
        <w:tc>
          <w:tcPr>
            <w:tcW w:w="2309" w:type="dxa"/>
            <w:tcBorders>
              <w:top w:val="single" w:color="auto" w:sz="4" w:space="0"/>
              <w:left w:val="nil"/>
              <w:bottom w:val="single" w:color="auto" w:sz="4" w:space="0"/>
              <w:right w:val="single" w:color="auto" w:sz="4" w:space="0"/>
            </w:tcBorders>
            <w:vAlign w:val="center"/>
          </w:tcPr>
          <w:p>
            <w:pPr>
              <w:widowControl/>
              <w:spacing w:line="360" w:lineRule="auto"/>
              <w:rPr>
                <w:rFonts w:ascii="仿宋" w:hAnsi="仿宋" w:eastAsia="仿宋" w:cs="仿宋"/>
                <w:color w:val="auto"/>
                <w:kern w:val="0"/>
                <w:highlight w:val="none"/>
              </w:rPr>
            </w:pPr>
          </w:p>
        </w:tc>
      </w:tr>
    </w:tbl>
    <w:p>
      <w:pPr>
        <w:autoSpaceDE w:val="0"/>
        <w:autoSpaceDN w:val="0"/>
        <w:adjustRightInd w:val="0"/>
        <w:spacing w:line="360" w:lineRule="auto"/>
        <w:ind w:firstLine="480"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法定代表人或其委托人（签字或盖章）：</w:t>
      </w:r>
    </w:p>
    <w:p>
      <w:pPr>
        <w:autoSpaceDE w:val="0"/>
        <w:autoSpaceDN w:val="0"/>
        <w:adjustRightInd w:val="0"/>
        <w:spacing w:line="360" w:lineRule="auto"/>
        <w:ind w:firstLine="357" w:firstLineChars="149"/>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磋商供应商盖章：</w:t>
      </w:r>
    </w:p>
    <w:p>
      <w:pPr>
        <w:autoSpaceDE w:val="0"/>
        <w:autoSpaceDN w:val="0"/>
        <w:adjustRightInd w:val="0"/>
        <w:spacing w:line="360" w:lineRule="auto"/>
        <w:ind w:firstLine="360" w:firstLineChars="15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注：以上表格由磋商供应商填写。</w:t>
      </w:r>
    </w:p>
    <w:p>
      <w:pPr>
        <w:pStyle w:val="3"/>
        <w:rPr>
          <w:rFonts w:ascii="仿宋" w:hAnsi="仿宋" w:eastAsia="仿宋" w:cs="仿宋"/>
          <w:color w:val="auto"/>
          <w:highlight w:val="none"/>
        </w:rPr>
      </w:pPr>
    </w:p>
    <w:p>
      <w:pP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br w:type="page"/>
      </w:r>
    </w:p>
    <w:p>
      <w:pPr>
        <w:snapToGrid w:val="0"/>
        <w:spacing w:line="360" w:lineRule="auto"/>
        <w:jc w:val="center"/>
        <w:outlineLvl w:val="4"/>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1、法定代表人身份证明</w:t>
      </w:r>
    </w:p>
    <w:p>
      <w:pPr>
        <w:snapToGrid w:val="0"/>
        <w:spacing w:line="360" w:lineRule="auto"/>
        <w:rPr>
          <w:rFonts w:ascii="仿宋" w:hAnsi="仿宋" w:eastAsia="仿宋" w:cs="仿宋"/>
          <w:color w:val="auto"/>
          <w:sz w:val="24"/>
          <w:szCs w:val="24"/>
          <w:highlight w:val="none"/>
        </w:rPr>
      </w:pPr>
    </w:p>
    <w:p>
      <w:pPr>
        <w:spacing w:line="360" w:lineRule="auto"/>
        <w:rPr>
          <w:rFonts w:ascii="仿宋" w:hAnsi="仿宋" w:eastAsia="仿宋" w:cs="仿宋"/>
          <w:color w:val="auto"/>
          <w:sz w:val="24"/>
          <w:szCs w:val="24"/>
          <w:highlight w:val="none"/>
        </w:rPr>
      </w:pPr>
      <w:r>
        <w:rPr>
          <w:rFonts w:hint="eastAsia" w:ascii="仿宋" w:hAnsi="仿宋" w:eastAsia="仿宋" w:cs="仿宋"/>
          <w:iCs/>
          <w:color w:val="auto"/>
          <w:sz w:val="24"/>
          <w:szCs w:val="24"/>
          <w:highlight w:val="none"/>
          <w:u w:val="single"/>
        </w:rPr>
        <w:t>（采购人）</w:t>
      </w:r>
      <w:r>
        <w:rPr>
          <w:rFonts w:hint="eastAsia" w:ascii="仿宋" w:hAnsi="仿宋" w:eastAsia="仿宋" w:cs="仿宋"/>
          <w:color w:val="auto"/>
          <w:sz w:val="24"/>
          <w:szCs w:val="24"/>
          <w:highlight w:val="none"/>
        </w:rPr>
        <w:t>：</w:t>
      </w:r>
    </w:p>
    <w:p>
      <w:pPr>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我公司法定代表人参加贵单位组织的</w:t>
      </w:r>
      <w:r>
        <w:rPr>
          <w:rFonts w:hint="eastAsia" w:ascii="仿宋" w:hAnsi="仿宋" w:eastAsia="仿宋" w:cs="仿宋"/>
          <w:color w:val="auto"/>
          <w:sz w:val="24"/>
          <w:szCs w:val="24"/>
          <w:highlight w:val="none"/>
          <w:u w:val="single"/>
        </w:rPr>
        <w:t>（采购项目名称及项目编号)</w:t>
      </w:r>
      <w:r>
        <w:rPr>
          <w:rFonts w:hint="eastAsia" w:ascii="仿宋" w:hAnsi="仿宋" w:eastAsia="仿宋" w:cs="仿宋"/>
          <w:color w:val="auto"/>
          <w:sz w:val="24"/>
          <w:szCs w:val="24"/>
          <w:highlight w:val="none"/>
        </w:rPr>
        <w:t>项目公开招标采购活动，全权代表我公司处理投标的有关事宜。</w:t>
      </w:r>
    </w:p>
    <w:p>
      <w:pPr>
        <w:snapToGrid w:val="0"/>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附：法定代表人情况：</w:t>
      </w:r>
    </w:p>
    <w:p>
      <w:pPr>
        <w:snapToGrid w:val="0"/>
        <w:spacing w:line="360" w:lineRule="auto"/>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姓名：性别：年龄：职务：</w:t>
      </w:r>
    </w:p>
    <w:p>
      <w:pPr>
        <w:snapToGrid w:val="0"/>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身份证号码：</w:t>
      </w:r>
    </w:p>
    <w:p>
      <w:pPr>
        <w:snapToGrid w:val="0"/>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手机：传真：</w:t>
      </w:r>
    </w:p>
    <w:p>
      <w:pPr>
        <w:snapToGrid w:val="0"/>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w:t>
      </w:r>
    </w:p>
    <w:p>
      <w:pPr>
        <w:snapToGrid w:val="0"/>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单位名称（公章）           法定代表人（签字）</w:t>
      </w:r>
    </w:p>
    <w:p>
      <w:pPr>
        <w:snapToGrid w:val="0"/>
        <w:spacing w:line="360" w:lineRule="auto"/>
        <w:ind w:firstLine="6000" w:firstLineChars="25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snapToGrid w:val="0"/>
        <w:spacing w:line="360" w:lineRule="auto"/>
        <w:rPr>
          <w:rFonts w:ascii="仿宋" w:hAnsi="仿宋" w:eastAsia="仿宋" w:cs="仿宋"/>
          <w:color w:val="auto"/>
          <w:sz w:val="24"/>
          <w:szCs w:val="24"/>
          <w:highlight w:val="none"/>
        </w:rPr>
      </w:pPr>
    </w:p>
    <w:p>
      <w:pPr>
        <w:snapToGrid w:val="0"/>
        <w:spacing w:line="360" w:lineRule="auto"/>
        <w:rPr>
          <w:rFonts w:ascii="仿宋" w:hAnsi="仿宋" w:eastAsia="仿宋" w:cs="仿宋"/>
          <w:color w:val="auto"/>
          <w:sz w:val="24"/>
          <w:szCs w:val="24"/>
          <w:highlight w:val="none"/>
        </w:rPr>
      </w:pPr>
    </w:p>
    <w:p>
      <w:pPr>
        <w:snapToGrid w:val="0"/>
        <w:spacing w:line="360" w:lineRule="auto"/>
        <w:rPr>
          <w:rFonts w:ascii="仿宋" w:hAnsi="仿宋" w:eastAsia="仿宋" w:cs="仿宋"/>
          <w:color w:val="auto"/>
          <w:sz w:val="24"/>
          <w:szCs w:val="24"/>
          <w:highlight w:val="none"/>
        </w:rPr>
      </w:pPr>
    </w:p>
    <w:p>
      <w:pPr>
        <w:snapToGrid w:val="0"/>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法定代表人身份证复印件正反两面</w:t>
      </w:r>
    </w:p>
    <w:p>
      <w:pPr>
        <w:snapToGrid w:val="0"/>
        <w:spacing w:line="360" w:lineRule="auto"/>
        <w:rPr>
          <w:rFonts w:ascii="仿宋" w:hAnsi="仿宋" w:eastAsia="仿宋" w:cs="仿宋"/>
          <w:color w:val="auto"/>
          <w:sz w:val="24"/>
          <w:szCs w:val="24"/>
          <w:highlight w:val="none"/>
        </w:rPr>
      </w:pPr>
    </w:p>
    <w:p>
      <w:pPr>
        <w:snapToGrid w:val="0"/>
        <w:spacing w:line="360" w:lineRule="auto"/>
        <w:ind w:firstLine="2280" w:firstLineChars="9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（粘贴此处）</w:t>
      </w:r>
    </w:p>
    <w:p>
      <w:pPr>
        <w:snapToGrid w:val="0"/>
        <w:spacing w:line="360" w:lineRule="auto"/>
        <w:ind w:firstLine="2280" w:firstLineChars="950"/>
        <w:rPr>
          <w:rFonts w:ascii="仿宋" w:hAnsi="仿宋" w:eastAsia="仿宋" w:cs="仿宋"/>
          <w:color w:val="auto"/>
          <w:sz w:val="24"/>
          <w:szCs w:val="24"/>
          <w:highlight w:val="none"/>
        </w:rPr>
      </w:pPr>
    </w:p>
    <w:p>
      <w:pPr>
        <w:snapToGrid w:val="0"/>
        <w:spacing w:line="360" w:lineRule="auto"/>
        <w:ind w:firstLine="2280" w:firstLineChars="950"/>
        <w:rPr>
          <w:rFonts w:ascii="仿宋" w:hAnsi="仿宋" w:eastAsia="仿宋" w:cs="仿宋"/>
          <w:color w:val="auto"/>
          <w:sz w:val="24"/>
          <w:szCs w:val="24"/>
          <w:highlight w:val="none"/>
        </w:rPr>
      </w:pPr>
    </w:p>
    <w:p>
      <w:pPr>
        <w:snapToGrid w:val="0"/>
        <w:spacing w:line="360" w:lineRule="auto"/>
        <w:jc w:val="center"/>
        <w:outlineLvl w:val="4"/>
        <w:rPr>
          <w:rFonts w:ascii="仿宋" w:hAnsi="仿宋" w:eastAsia="仿宋" w:cs="仿宋"/>
          <w:b/>
          <w:bCs/>
          <w:color w:val="auto"/>
          <w:sz w:val="24"/>
          <w:szCs w:val="24"/>
          <w:highlight w:val="none"/>
        </w:rPr>
      </w:pPr>
    </w:p>
    <w:p>
      <w:pPr>
        <w:snapToGrid w:val="0"/>
        <w:spacing w:line="360" w:lineRule="auto"/>
        <w:jc w:val="center"/>
        <w:outlineLvl w:val="4"/>
        <w:rPr>
          <w:rFonts w:ascii="仿宋" w:hAnsi="仿宋" w:eastAsia="仿宋" w:cs="仿宋"/>
          <w:b/>
          <w:bCs/>
          <w:color w:val="auto"/>
          <w:sz w:val="24"/>
          <w:szCs w:val="24"/>
          <w:highlight w:val="none"/>
        </w:rPr>
      </w:pPr>
    </w:p>
    <w:p>
      <w:pPr>
        <w:snapToGrid w:val="0"/>
        <w:spacing w:line="360" w:lineRule="auto"/>
        <w:jc w:val="center"/>
        <w:outlineLvl w:val="4"/>
        <w:rPr>
          <w:rFonts w:ascii="仿宋" w:hAnsi="仿宋" w:eastAsia="仿宋" w:cs="仿宋"/>
          <w:b/>
          <w:bCs/>
          <w:color w:val="auto"/>
          <w:sz w:val="24"/>
          <w:szCs w:val="24"/>
          <w:highlight w:val="none"/>
        </w:rPr>
      </w:pPr>
    </w:p>
    <w:p>
      <w:pPr>
        <w:widowControl/>
        <w:spacing w:line="360" w:lineRule="auto"/>
        <w:jc w:val="lef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br w:type="page"/>
      </w:r>
    </w:p>
    <w:p>
      <w:pPr>
        <w:snapToGrid w:val="0"/>
        <w:spacing w:line="360" w:lineRule="auto"/>
        <w:ind w:firstLine="2800" w:firstLineChars="1000"/>
        <w:outlineLvl w:val="4"/>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2、法定代表人授权委托书</w:t>
      </w:r>
    </w:p>
    <w:p>
      <w:pPr>
        <w:snapToGrid w:val="0"/>
        <w:spacing w:line="360" w:lineRule="auto"/>
        <w:textAlignment w:val="baseline"/>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color="000000"/>
        </w:rPr>
        <w:t>（采购人）：</w:t>
      </w:r>
    </w:p>
    <w:p>
      <w:pPr>
        <w:snapToGrid w:val="0"/>
        <w:spacing w:line="360" w:lineRule="auto"/>
        <w:ind w:firstLine="484" w:firstLineChars="202"/>
        <w:textAlignment w:val="baseline"/>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本授权委托书声明：我</w:t>
      </w:r>
      <w:r>
        <w:rPr>
          <w:rFonts w:hint="eastAsia" w:ascii="仿宋" w:hAnsi="仿宋" w:eastAsia="仿宋" w:cs="仿宋"/>
          <w:color w:val="auto"/>
          <w:sz w:val="24"/>
          <w:szCs w:val="24"/>
          <w:highlight w:val="none"/>
          <w:u w:val="single" w:color="000000"/>
        </w:rPr>
        <w:t xml:space="preserve">　    </w:t>
      </w:r>
      <w:r>
        <w:rPr>
          <w:rFonts w:hint="eastAsia" w:ascii="仿宋" w:hAnsi="仿宋" w:eastAsia="仿宋" w:cs="仿宋"/>
          <w:color w:val="auto"/>
          <w:sz w:val="24"/>
          <w:szCs w:val="24"/>
          <w:highlight w:val="none"/>
        </w:rPr>
        <w:t>（姓名）系</w:t>
      </w:r>
      <w:r>
        <w:rPr>
          <w:rFonts w:hint="eastAsia" w:ascii="仿宋" w:hAnsi="仿宋" w:eastAsia="仿宋" w:cs="仿宋"/>
          <w:color w:val="auto"/>
          <w:sz w:val="24"/>
          <w:szCs w:val="24"/>
          <w:highlight w:val="none"/>
          <w:u w:val="single" w:color="000000"/>
        </w:rPr>
        <w:t xml:space="preserve">　            </w:t>
      </w:r>
      <w:r>
        <w:rPr>
          <w:rFonts w:hint="eastAsia" w:ascii="仿宋" w:hAnsi="仿宋" w:eastAsia="仿宋" w:cs="仿宋"/>
          <w:color w:val="auto"/>
          <w:sz w:val="24"/>
          <w:szCs w:val="24"/>
          <w:highlight w:val="none"/>
        </w:rPr>
        <w:t>（供应商名称）的法定代表人，现授权委托</w:t>
      </w:r>
      <w:r>
        <w:rPr>
          <w:rFonts w:hint="eastAsia" w:ascii="仿宋" w:hAnsi="仿宋" w:eastAsia="仿宋" w:cs="仿宋"/>
          <w:color w:val="auto"/>
          <w:sz w:val="24"/>
          <w:szCs w:val="24"/>
          <w:highlight w:val="none"/>
          <w:u w:val="single" w:color="000000"/>
        </w:rPr>
        <w:t xml:space="preserve">　　     </w:t>
      </w:r>
      <w:r>
        <w:rPr>
          <w:rFonts w:hint="eastAsia" w:ascii="仿宋" w:hAnsi="仿宋" w:eastAsia="仿宋" w:cs="仿宋"/>
          <w:color w:val="auto"/>
          <w:sz w:val="24"/>
          <w:szCs w:val="24"/>
          <w:highlight w:val="none"/>
        </w:rPr>
        <w:t>（姓名）为我公司为被委托受权人，以本公司的名义参加本项目的竞争性磋商响应活动。被委托受权人在开标、评审磋商活动、合同谈判过程中所签署的一切文件和处理与之有关的一切事务，我均予以承认。</w:t>
      </w:r>
    </w:p>
    <w:p>
      <w:pPr>
        <w:snapToGrid w:val="0"/>
        <w:spacing w:line="360" w:lineRule="auto"/>
        <w:ind w:firstLine="484" w:firstLineChars="202"/>
        <w:textAlignment w:val="baseline"/>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被委托受权人无转委权。特此委托。</w:t>
      </w:r>
    </w:p>
    <w:p>
      <w:pPr>
        <w:pStyle w:val="3"/>
        <w:snapToGrid w:val="0"/>
        <w:spacing w:line="360" w:lineRule="auto"/>
        <w:textAlignment w:val="baseline"/>
        <w:rPr>
          <w:rFonts w:ascii="仿宋" w:hAnsi="仿宋" w:eastAsia="仿宋" w:cs="仿宋"/>
          <w:color w:val="auto"/>
          <w:szCs w:val="24"/>
          <w:highlight w:val="none"/>
        </w:rPr>
      </w:pPr>
    </w:p>
    <w:p>
      <w:pPr>
        <w:snapToGrid w:val="0"/>
        <w:spacing w:line="360" w:lineRule="auto"/>
        <w:ind w:firstLine="972" w:firstLineChars="405"/>
        <w:textAlignment w:val="baseline"/>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法定代表人签字：</w:t>
      </w:r>
    </w:p>
    <w:p>
      <w:pPr>
        <w:snapToGrid w:val="0"/>
        <w:spacing w:line="360" w:lineRule="auto"/>
        <w:ind w:firstLine="972" w:firstLineChars="405"/>
        <w:textAlignment w:val="baseline"/>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被委托受权人身份证号：</w:t>
      </w:r>
    </w:p>
    <w:p>
      <w:pPr>
        <w:snapToGrid w:val="0"/>
        <w:spacing w:line="360" w:lineRule="auto"/>
        <w:ind w:firstLine="972" w:firstLineChars="405"/>
        <w:textAlignment w:val="baseline"/>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被委托受权人签字：</w:t>
      </w:r>
    </w:p>
    <w:p>
      <w:pPr>
        <w:snapToGrid w:val="0"/>
        <w:spacing w:line="520" w:lineRule="exact"/>
        <w:jc w:val="right"/>
        <w:textAlignment w:val="baseline"/>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竞争性磋商响应单位：（加盖公章）</w:t>
      </w:r>
    </w:p>
    <w:p>
      <w:pPr>
        <w:snapToGrid w:val="0"/>
        <w:spacing w:line="420" w:lineRule="exact"/>
        <w:ind w:firstLine="484" w:firstLineChars="202"/>
        <w:jc w:val="right"/>
        <w:textAlignment w:val="baseline"/>
        <w:rPr>
          <w:rFonts w:ascii="仿宋" w:hAnsi="仿宋" w:eastAsia="仿宋" w:cs="仿宋"/>
          <w:color w:val="auto"/>
          <w:sz w:val="20"/>
          <w:highlight w:val="none"/>
        </w:rPr>
      </w:pPr>
      <w:r>
        <w:rPr>
          <w:rFonts w:hint="eastAsia" w:ascii="仿宋" w:hAnsi="仿宋" w:eastAsia="仿宋" w:cs="仿宋"/>
          <w:color w:val="auto"/>
          <w:sz w:val="24"/>
          <w:szCs w:val="24"/>
          <w:highlight w:val="none"/>
        </w:rPr>
        <w:t>年      月     日</w:t>
      </w:r>
    </w:p>
    <w:p>
      <w:pPr>
        <w:spacing w:line="360" w:lineRule="auto"/>
        <w:rPr>
          <w:rFonts w:ascii="仿宋" w:hAnsi="仿宋" w:eastAsia="仿宋" w:cs="仿宋"/>
          <w:color w:val="auto"/>
          <w:sz w:val="24"/>
          <w:szCs w:val="24"/>
          <w:highlight w:val="none"/>
        </w:rPr>
      </w:pPr>
    </w:p>
    <w:p>
      <w:pPr>
        <w:spacing w:line="360" w:lineRule="auto"/>
        <w:rPr>
          <w:rFonts w:ascii="仿宋" w:hAnsi="仿宋" w:eastAsia="仿宋" w:cs="仿宋"/>
          <w:color w:val="auto"/>
          <w:sz w:val="24"/>
          <w:szCs w:val="24"/>
          <w:highlight w:val="none"/>
        </w:rPr>
      </w:pPr>
    </w:p>
    <w:p>
      <w:pPr>
        <w:pStyle w:val="40"/>
        <w:spacing w:line="360" w:lineRule="auto"/>
        <w:rPr>
          <w:rFonts w:ascii="仿宋" w:hAnsi="仿宋" w:eastAsia="仿宋" w:cs="仿宋"/>
          <w:color w:val="auto"/>
          <w:sz w:val="24"/>
          <w:szCs w:val="24"/>
          <w:highlight w:val="none"/>
        </w:rPr>
      </w:pPr>
    </w:p>
    <w:p>
      <w:pPr>
        <w:pStyle w:val="40"/>
        <w:spacing w:line="360" w:lineRule="auto"/>
        <w:rPr>
          <w:rFonts w:ascii="仿宋" w:hAnsi="仿宋" w:eastAsia="仿宋" w:cs="仿宋"/>
          <w:color w:val="auto"/>
          <w:sz w:val="24"/>
          <w:szCs w:val="24"/>
          <w:highlight w:val="none"/>
        </w:rPr>
      </w:pPr>
    </w:p>
    <w:p>
      <w:pPr>
        <w:pStyle w:val="40"/>
        <w:snapToGrid w:val="0"/>
        <w:spacing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注：提供被委托授权人的身份证复印件正反两面和法定代表人的身份证复印件正反面</w:t>
      </w:r>
    </w:p>
    <w:p>
      <w:pPr>
        <w:pStyle w:val="40"/>
        <w:spacing w:line="360" w:lineRule="auto"/>
        <w:rPr>
          <w:rFonts w:ascii="仿宋" w:hAnsi="仿宋" w:eastAsia="仿宋" w:cs="仿宋"/>
          <w:color w:val="auto"/>
          <w:sz w:val="24"/>
          <w:szCs w:val="24"/>
          <w:highlight w:val="none"/>
        </w:rPr>
      </w:pPr>
    </w:p>
    <w:p>
      <w:pPr>
        <w:spacing w:line="360" w:lineRule="auto"/>
        <w:rPr>
          <w:rFonts w:ascii="仿宋" w:hAnsi="仿宋" w:eastAsia="仿宋" w:cs="仿宋"/>
          <w:color w:val="auto"/>
          <w:sz w:val="24"/>
          <w:szCs w:val="24"/>
          <w:highlight w:val="none"/>
        </w:rPr>
      </w:pPr>
    </w:p>
    <w:p>
      <w:pPr>
        <w:snapToGrid w:val="0"/>
        <w:spacing w:line="360" w:lineRule="auto"/>
        <w:jc w:val="center"/>
        <w:outlineLvl w:val="4"/>
        <w:rPr>
          <w:rFonts w:ascii="仿宋" w:hAnsi="仿宋" w:eastAsia="仿宋" w:cs="仿宋"/>
          <w:b/>
          <w:bCs/>
          <w:color w:val="auto"/>
          <w:sz w:val="24"/>
          <w:szCs w:val="24"/>
          <w:highlight w:val="none"/>
        </w:rPr>
      </w:pPr>
      <w:bookmarkStart w:id="129" w:name="_Toc482192403"/>
      <w:bookmarkEnd w:id="129"/>
      <w:bookmarkStart w:id="130" w:name="_Toc482189589"/>
      <w:bookmarkEnd w:id="130"/>
    </w:p>
    <w:p>
      <w:pPr>
        <w:snapToGrid w:val="0"/>
        <w:spacing w:line="360" w:lineRule="auto"/>
        <w:outlineLvl w:val="4"/>
        <w:rPr>
          <w:rFonts w:ascii="仿宋" w:hAnsi="仿宋" w:eastAsia="仿宋" w:cs="仿宋"/>
          <w:b/>
          <w:bCs/>
          <w:color w:val="auto"/>
          <w:sz w:val="24"/>
          <w:szCs w:val="24"/>
          <w:highlight w:val="none"/>
        </w:rPr>
      </w:pPr>
    </w:p>
    <w:p>
      <w:pPr>
        <w:pStyle w:val="21"/>
        <w:spacing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pStyle w:val="40"/>
        <w:ind w:firstLine="560"/>
        <w:jc w:val="left"/>
        <w:rPr>
          <w:rFonts w:ascii="仿宋" w:hAnsi="仿宋" w:eastAsia="仿宋" w:cs="仿宋"/>
          <w:b/>
          <w:color w:val="auto"/>
          <w:sz w:val="30"/>
          <w:szCs w:val="30"/>
          <w:highlight w:val="none"/>
        </w:rPr>
      </w:pPr>
      <w:r>
        <w:rPr>
          <w:rFonts w:hint="eastAsia" w:ascii="仿宋" w:hAnsi="仿宋" w:eastAsia="仿宋" w:cs="仿宋"/>
          <w:b/>
          <w:bCs/>
          <w:color w:val="auto"/>
          <w:sz w:val="28"/>
          <w:szCs w:val="28"/>
          <w:highlight w:val="none"/>
        </w:rPr>
        <w:t>3、</w:t>
      </w:r>
      <w:r>
        <w:rPr>
          <w:rFonts w:hint="eastAsia" w:ascii="仿宋" w:hAnsi="仿宋" w:eastAsia="仿宋" w:cs="仿宋"/>
          <w:b/>
          <w:color w:val="auto"/>
          <w:sz w:val="30"/>
          <w:szCs w:val="30"/>
          <w:highlight w:val="none"/>
        </w:rPr>
        <w:t>供应商符合《政府采购法》第二十二条规定条件的声明函</w:t>
      </w:r>
    </w:p>
    <w:p>
      <w:pPr>
        <w:spacing w:line="460" w:lineRule="exact"/>
        <w:rPr>
          <w:rFonts w:ascii="仿宋" w:hAnsi="仿宋" w:eastAsia="仿宋" w:cs="仿宋"/>
          <w:b/>
          <w:bCs/>
          <w:color w:val="auto"/>
          <w:sz w:val="44"/>
          <w:szCs w:val="44"/>
          <w:highlight w:val="none"/>
        </w:rPr>
      </w:pPr>
    </w:p>
    <w:p>
      <w:pPr>
        <w:spacing w:line="520" w:lineRule="exact"/>
        <w:ind w:firstLine="480" w:firstLineChars="200"/>
        <w:rPr>
          <w:rFonts w:ascii="仿宋" w:hAnsi="仿宋" w:eastAsia="仿宋" w:cs="仿宋"/>
          <w:b/>
          <w:bCs/>
          <w:color w:val="auto"/>
          <w:sz w:val="24"/>
          <w:highlight w:val="none"/>
        </w:rPr>
      </w:pPr>
      <w:r>
        <w:rPr>
          <w:rFonts w:hint="eastAsia" w:ascii="仿宋" w:hAnsi="仿宋" w:eastAsia="仿宋" w:cs="仿宋"/>
          <w:bCs/>
          <w:color w:val="auto"/>
          <w:sz w:val="24"/>
          <w:highlight w:val="none"/>
        </w:rPr>
        <w:t>我单位参加</w:t>
      </w:r>
      <w:r>
        <w:rPr>
          <w:rFonts w:hint="eastAsia" w:ascii="仿宋" w:hAnsi="仿宋" w:eastAsia="仿宋" w:cs="仿宋"/>
          <w:bCs/>
          <w:color w:val="auto"/>
          <w:sz w:val="24"/>
          <w:highlight w:val="none"/>
          <w:u w:val="single"/>
        </w:rPr>
        <w:t>________________ _</w:t>
      </w:r>
      <w:r>
        <w:rPr>
          <w:rFonts w:hint="eastAsia" w:ascii="仿宋" w:hAnsi="仿宋" w:eastAsia="仿宋" w:cs="仿宋"/>
          <w:bCs/>
          <w:color w:val="auto"/>
          <w:sz w:val="24"/>
          <w:highlight w:val="none"/>
        </w:rPr>
        <w:t>（项目名称），</w:t>
      </w:r>
      <w:r>
        <w:rPr>
          <w:rFonts w:hint="eastAsia" w:ascii="仿宋" w:hAnsi="仿宋" w:eastAsia="仿宋" w:cs="仿宋"/>
          <w:bCs/>
          <w:color w:val="auto"/>
          <w:sz w:val="24"/>
          <w:highlight w:val="none"/>
          <w:u w:val="single"/>
        </w:rPr>
        <w:t>_______ __________</w:t>
      </w:r>
      <w:r>
        <w:rPr>
          <w:rFonts w:hint="eastAsia" w:ascii="仿宋" w:hAnsi="仿宋" w:eastAsia="仿宋" w:cs="仿宋"/>
          <w:bCs/>
          <w:color w:val="auto"/>
          <w:sz w:val="24"/>
          <w:highlight w:val="none"/>
        </w:rPr>
        <w:t>（项目编号）投标活动。针对《中华人民共和国政府采购法》第二十二条规定做出如下声明：</w:t>
      </w:r>
    </w:p>
    <w:p>
      <w:pPr>
        <w:spacing w:line="520" w:lineRule="exact"/>
        <w:ind w:firstLine="482"/>
        <w:rPr>
          <w:rFonts w:ascii="仿宋" w:hAnsi="仿宋" w:eastAsia="仿宋" w:cs="仿宋"/>
          <w:color w:val="auto"/>
          <w:sz w:val="24"/>
          <w:highlight w:val="none"/>
        </w:rPr>
      </w:pPr>
      <w:r>
        <w:rPr>
          <w:rFonts w:hint="eastAsia" w:ascii="仿宋" w:hAnsi="仿宋" w:eastAsia="仿宋" w:cs="仿宋"/>
          <w:bCs/>
          <w:color w:val="auto"/>
          <w:sz w:val="24"/>
          <w:highlight w:val="none"/>
        </w:rPr>
        <w:t>1.我单位具有独立承担民事责任的能力；</w:t>
      </w:r>
    </w:p>
    <w:p>
      <w:pPr>
        <w:spacing w:line="52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2.我单位具有良好的商业信誉和健全的财务会计制度；</w:t>
      </w:r>
    </w:p>
    <w:p>
      <w:pPr>
        <w:spacing w:line="52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3.我单位具有履行合同所必需的设备和专业技术能力；</w:t>
      </w:r>
    </w:p>
    <w:p>
      <w:pPr>
        <w:spacing w:line="52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4.我单位有依法缴纳税收和社会保障资金的良好记录；</w:t>
      </w:r>
    </w:p>
    <w:p>
      <w:pPr>
        <w:spacing w:line="52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pacing w:line="520" w:lineRule="exact"/>
        <w:ind w:firstLine="482"/>
        <w:rPr>
          <w:rFonts w:ascii="仿宋" w:hAnsi="仿宋" w:eastAsia="仿宋" w:cs="仿宋"/>
          <w:color w:val="auto"/>
          <w:sz w:val="24"/>
          <w:highlight w:val="none"/>
        </w:rPr>
      </w:pPr>
      <w:r>
        <w:rPr>
          <w:rFonts w:hint="eastAsia" w:ascii="仿宋" w:hAnsi="仿宋" w:eastAsia="仿宋" w:cs="仿宋"/>
          <w:color w:val="auto"/>
          <w:sz w:val="24"/>
          <w:highlight w:val="none"/>
        </w:rPr>
        <w:t>6.我单位满足法律、行政法规规定的其他条件。</w:t>
      </w:r>
    </w:p>
    <w:p>
      <w:pPr>
        <w:spacing w:line="500" w:lineRule="exact"/>
        <w:ind w:firstLine="482"/>
        <w:rPr>
          <w:rFonts w:ascii="仿宋" w:hAnsi="仿宋" w:eastAsia="仿宋" w:cs="仿宋"/>
          <w:color w:val="auto"/>
          <w:sz w:val="24"/>
          <w:highlight w:val="none"/>
        </w:rPr>
      </w:pPr>
    </w:p>
    <w:p>
      <w:pPr>
        <w:spacing w:line="500" w:lineRule="exact"/>
        <w:rPr>
          <w:rFonts w:ascii="仿宋" w:hAnsi="仿宋" w:eastAsia="仿宋" w:cs="仿宋"/>
          <w:color w:val="auto"/>
          <w:sz w:val="24"/>
          <w:highlight w:val="none"/>
        </w:rPr>
      </w:pPr>
    </w:p>
    <w:p>
      <w:pPr>
        <w:spacing w:line="500" w:lineRule="exact"/>
        <w:rPr>
          <w:rFonts w:ascii="仿宋" w:hAnsi="仿宋" w:eastAsia="仿宋" w:cs="仿宋"/>
          <w:bCs/>
          <w:color w:val="auto"/>
          <w:sz w:val="24"/>
          <w:highlight w:val="none"/>
        </w:rPr>
      </w:pPr>
    </w:p>
    <w:p>
      <w:pPr>
        <w:spacing w:line="500" w:lineRule="exact"/>
        <w:rPr>
          <w:rFonts w:ascii="仿宋" w:hAnsi="仿宋" w:eastAsia="仿宋" w:cs="仿宋"/>
          <w:bCs/>
          <w:color w:val="auto"/>
          <w:sz w:val="24"/>
          <w:highlight w:val="none"/>
        </w:rPr>
      </w:pPr>
    </w:p>
    <w:p>
      <w:pPr>
        <w:spacing w:line="500" w:lineRule="exact"/>
        <w:rPr>
          <w:rFonts w:ascii="仿宋" w:hAnsi="仿宋" w:eastAsia="仿宋" w:cs="仿宋"/>
          <w:bCs/>
          <w:color w:val="auto"/>
          <w:sz w:val="24"/>
          <w:highlight w:val="none"/>
        </w:rPr>
      </w:pPr>
    </w:p>
    <w:p>
      <w:pPr>
        <w:spacing w:line="460" w:lineRule="exact"/>
        <w:jc w:val="center"/>
        <w:rPr>
          <w:rFonts w:ascii="仿宋" w:hAnsi="仿宋" w:eastAsia="仿宋" w:cs="仿宋"/>
          <w:bCs/>
          <w:color w:val="auto"/>
          <w:sz w:val="24"/>
          <w:highlight w:val="none"/>
        </w:rPr>
      </w:pPr>
      <w:r>
        <w:rPr>
          <w:rFonts w:hint="eastAsia" w:ascii="仿宋" w:hAnsi="仿宋" w:eastAsia="仿宋" w:cs="仿宋"/>
          <w:bCs/>
          <w:color w:val="auto"/>
          <w:sz w:val="24"/>
          <w:highlight w:val="none"/>
        </w:rPr>
        <w:t xml:space="preserve">                                             承诺人名称（公章）：</w:t>
      </w:r>
    </w:p>
    <w:p>
      <w:pPr>
        <w:spacing w:line="460" w:lineRule="exact"/>
        <w:jc w:val="right"/>
        <w:rPr>
          <w:rFonts w:ascii="仿宋" w:hAnsi="仿宋" w:eastAsia="仿宋" w:cs="仿宋"/>
          <w:bCs/>
          <w:color w:val="auto"/>
          <w:sz w:val="24"/>
          <w:highlight w:val="none"/>
        </w:rPr>
      </w:pPr>
    </w:p>
    <w:p>
      <w:pPr>
        <w:snapToGrid w:val="0"/>
        <w:spacing w:line="420" w:lineRule="exact"/>
        <w:jc w:val="center"/>
        <w:outlineLvl w:val="4"/>
        <w:rPr>
          <w:rFonts w:ascii="仿宋" w:hAnsi="仿宋" w:eastAsia="仿宋" w:cs="仿宋"/>
          <w:b/>
          <w:bCs/>
          <w:color w:val="auto"/>
          <w:sz w:val="24"/>
          <w:highlight w:val="none"/>
        </w:rPr>
      </w:pPr>
      <w:r>
        <w:rPr>
          <w:rFonts w:hint="eastAsia" w:ascii="仿宋" w:hAnsi="仿宋" w:eastAsia="仿宋" w:cs="仿宋"/>
          <w:bCs/>
          <w:color w:val="auto"/>
          <w:sz w:val="24"/>
          <w:highlight w:val="none"/>
        </w:rPr>
        <w:t xml:space="preserve">                                 日期：</w:t>
      </w:r>
      <w:r>
        <w:rPr>
          <w:rFonts w:hint="eastAsia" w:ascii="仿宋" w:hAnsi="仿宋" w:eastAsia="仿宋" w:cs="仿宋"/>
          <w:bCs/>
          <w:color w:val="auto"/>
          <w:sz w:val="24"/>
          <w:highlight w:val="none"/>
          <w:u w:val="single"/>
        </w:rPr>
        <w:t>______</w:t>
      </w:r>
      <w:r>
        <w:rPr>
          <w:rFonts w:hint="eastAsia" w:ascii="仿宋" w:hAnsi="仿宋" w:eastAsia="仿宋" w:cs="仿宋"/>
          <w:bCs/>
          <w:color w:val="auto"/>
          <w:sz w:val="24"/>
          <w:highlight w:val="none"/>
        </w:rPr>
        <w:t>年月日</w:t>
      </w:r>
    </w:p>
    <w:p>
      <w:pPr>
        <w:spacing w:line="560" w:lineRule="exact"/>
        <w:ind w:firstLine="320" w:firstLineChars="100"/>
        <w:jc w:val="center"/>
        <w:rPr>
          <w:rFonts w:ascii="仿宋" w:hAnsi="仿宋" w:eastAsia="仿宋" w:cs="仿宋"/>
          <w:b/>
          <w:bCs/>
          <w:color w:val="auto"/>
          <w:sz w:val="32"/>
          <w:szCs w:val="32"/>
          <w:highlight w:val="none"/>
        </w:rPr>
      </w:pPr>
    </w:p>
    <w:p>
      <w:pPr>
        <w:spacing w:line="560" w:lineRule="exact"/>
        <w:ind w:firstLine="320" w:firstLineChars="100"/>
        <w:jc w:val="center"/>
        <w:rPr>
          <w:rFonts w:ascii="仿宋" w:hAnsi="仿宋" w:eastAsia="仿宋" w:cs="仿宋"/>
          <w:b/>
          <w:bCs/>
          <w:color w:val="auto"/>
          <w:sz w:val="32"/>
          <w:szCs w:val="32"/>
          <w:highlight w:val="none"/>
        </w:rPr>
      </w:pPr>
    </w:p>
    <w:p>
      <w:pPr>
        <w:pStyle w:val="21"/>
        <w:ind w:firstLine="562"/>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4、中小企业声明函（工程、服务）</w:t>
      </w:r>
    </w:p>
    <w:p>
      <w:pPr>
        <w:pStyle w:val="21"/>
        <w:ind w:firstLine="480"/>
        <w:rPr>
          <w:rFonts w:ascii="仿宋" w:hAnsi="仿宋" w:eastAsia="仿宋" w:cs="仿宋"/>
          <w:color w:val="auto"/>
          <w:sz w:val="24"/>
          <w:szCs w:val="24"/>
          <w:highlight w:val="none"/>
        </w:rPr>
      </w:pPr>
    </w:p>
    <w:p>
      <w:pPr>
        <w:pStyle w:val="21"/>
        <w:spacing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本公司（联合体）郑重声明，根据《政府采购促进中小企业发展管理办法》（财库﹝2020﹞46 号）的规定，本公司（联合体）参加</w:t>
      </w:r>
      <w:r>
        <w:rPr>
          <w:rFonts w:hint="eastAsia" w:ascii="仿宋" w:hAnsi="仿宋" w:eastAsia="仿宋" w:cs="仿宋"/>
          <w:color w:val="auto"/>
          <w:sz w:val="24"/>
          <w:szCs w:val="24"/>
          <w:highlight w:val="none"/>
          <w:u w:val="single"/>
        </w:rPr>
        <w:t xml:space="preserve">            （单位名称）</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u w:val="single"/>
        </w:rPr>
        <w:t xml:space="preserve">              （项目名称）</w:t>
      </w:r>
      <w:r>
        <w:rPr>
          <w:rFonts w:hint="eastAsia" w:ascii="仿宋" w:hAnsi="仿宋" w:eastAsia="仿宋" w:cs="仿宋"/>
          <w:color w:val="auto"/>
          <w:sz w:val="24"/>
          <w:szCs w:val="24"/>
          <w:highlight w:val="none"/>
        </w:rPr>
        <w:t>采购活动，工程的中标单位全部为符合政策要求的中小企业（或者：服务 全部由符合政策要求的中小企业承接）。相关企业（含联合 体中的中小企业、签订分包意向协议的中小企业）的具体情 况如下：</w:t>
      </w:r>
    </w:p>
    <w:p>
      <w:pPr>
        <w:pStyle w:val="21"/>
        <w:spacing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u w:val="single"/>
        </w:rPr>
        <w:t>（标的名称）</w:t>
      </w:r>
      <w:r>
        <w:rPr>
          <w:rFonts w:hint="eastAsia" w:ascii="仿宋" w:hAnsi="仿宋" w:eastAsia="仿宋" w:cs="仿宋"/>
          <w:color w:val="auto"/>
          <w:sz w:val="24"/>
          <w:szCs w:val="24"/>
          <w:highlight w:val="none"/>
        </w:rPr>
        <w:t>，属于</w:t>
      </w:r>
      <w:r>
        <w:rPr>
          <w:rFonts w:hint="eastAsia" w:ascii="仿宋" w:hAnsi="仿宋" w:eastAsia="仿宋" w:cs="仿宋"/>
          <w:color w:val="auto"/>
          <w:sz w:val="24"/>
          <w:szCs w:val="24"/>
          <w:highlight w:val="none"/>
          <w:u w:val="single"/>
        </w:rPr>
        <w:t>（采购文件中明确的所属行业）</w:t>
      </w:r>
      <w:r>
        <w:rPr>
          <w:rFonts w:hint="eastAsia" w:ascii="仿宋" w:hAnsi="仿宋" w:eastAsia="仿宋" w:cs="仿宋"/>
          <w:color w:val="auto"/>
          <w:sz w:val="24"/>
          <w:szCs w:val="24"/>
          <w:highlight w:val="none"/>
        </w:rPr>
        <w:t>； 承建（承接）企业为</w:t>
      </w:r>
      <w:r>
        <w:rPr>
          <w:rFonts w:hint="eastAsia" w:ascii="仿宋" w:hAnsi="仿宋" w:eastAsia="仿宋" w:cs="仿宋"/>
          <w:color w:val="auto"/>
          <w:sz w:val="24"/>
          <w:szCs w:val="24"/>
          <w:highlight w:val="none"/>
          <w:u w:val="single"/>
        </w:rPr>
        <w:t>（企业名称）</w:t>
      </w:r>
      <w:r>
        <w:rPr>
          <w:rFonts w:hint="eastAsia" w:ascii="仿宋" w:hAnsi="仿宋" w:eastAsia="仿宋" w:cs="仿宋"/>
          <w:color w:val="auto"/>
          <w:sz w:val="24"/>
          <w:szCs w:val="24"/>
          <w:highlight w:val="none"/>
        </w:rPr>
        <w:t>，从业人员</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人，营业收入为</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万元，资产总额为</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万元，属于</w:t>
      </w:r>
      <w:r>
        <w:rPr>
          <w:rFonts w:hint="eastAsia" w:ascii="仿宋" w:hAnsi="仿宋" w:eastAsia="仿宋" w:cs="仿宋"/>
          <w:color w:val="auto"/>
          <w:sz w:val="24"/>
          <w:szCs w:val="24"/>
          <w:highlight w:val="none"/>
          <w:u w:val="single"/>
        </w:rPr>
        <w:t xml:space="preserve">      （中型企业、 小型企业、微型企业）</w:t>
      </w:r>
      <w:r>
        <w:rPr>
          <w:rFonts w:hint="eastAsia" w:ascii="仿宋" w:hAnsi="仿宋" w:eastAsia="仿宋" w:cs="仿宋"/>
          <w:color w:val="auto"/>
          <w:sz w:val="24"/>
          <w:szCs w:val="24"/>
          <w:highlight w:val="none"/>
        </w:rPr>
        <w:t>；</w:t>
      </w:r>
    </w:p>
    <w:p>
      <w:pPr>
        <w:pStyle w:val="21"/>
        <w:spacing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 </w:t>
      </w:r>
      <w:r>
        <w:rPr>
          <w:rFonts w:hint="eastAsia" w:ascii="仿宋" w:hAnsi="仿宋" w:eastAsia="仿宋" w:cs="仿宋"/>
          <w:color w:val="auto"/>
          <w:sz w:val="24"/>
          <w:szCs w:val="24"/>
          <w:highlight w:val="none"/>
          <w:u w:val="single"/>
        </w:rPr>
        <w:t>（标的名称）</w:t>
      </w:r>
      <w:r>
        <w:rPr>
          <w:rFonts w:hint="eastAsia" w:ascii="仿宋" w:hAnsi="仿宋" w:eastAsia="仿宋" w:cs="仿宋"/>
          <w:color w:val="auto"/>
          <w:sz w:val="24"/>
          <w:szCs w:val="24"/>
          <w:highlight w:val="none"/>
        </w:rPr>
        <w:t>，属于</w:t>
      </w:r>
      <w:r>
        <w:rPr>
          <w:rFonts w:hint="eastAsia" w:ascii="仿宋" w:hAnsi="仿宋" w:eastAsia="仿宋" w:cs="仿宋"/>
          <w:color w:val="auto"/>
          <w:sz w:val="24"/>
          <w:szCs w:val="24"/>
          <w:highlight w:val="none"/>
          <w:u w:val="single"/>
        </w:rPr>
        <w:t>（采购文件中明确的所属行业）</w:t>
      </w:r>
      <w:r>
        <w:rPr>
          <w:rFonts w:hint="eastAsia" w:ascii="仿宋" w:hAnsi="仿宋" w:eastAsia="仿宋" w:cs="仿宋"/>
          <w:color w:val="auto"/>
          <w:sz w:val="24"/>
          <w:szCs w:val="24"/>
          <w:highlight w:val="none"/>
        </w:rPr>
        <w:t>； 承建（承接）企业为</w:t>
      </w:r>
      <w:r>
        <w:rPr>
          <w:rFonts w:hint="eastAsia" w:ascii="仿宋" w:hAnsi="仿宋" w:eastAsia="仿宋" w:cs="仿宋"/>
          <w:color w:val="auto"/>
          <w:sz w:val="24"/>
          <w:szCs w:val="24"/>
          <w:highlight w:val="none"/>
          <w:u w:val="single"/>
        </w:rPr>
        <w:t>（企业名称）</w:t>
      </w:r>
      <w:r>
        <w:rPr>
          <w:rFonts w:hint="eastAsia" w:ascii="仿宋" w:hAnsi="仿宋" w:eastAsia="仿宋" w:cs="仿宋"/>
          <w:color w:val="auto"/>
          <w:sz w:val="24"/>
          <w:szCs w:val="24"/>
          <w:highlight w:val="none"/>
        </w:rPr>
        <w:t>，从业人员</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人，营业收入为</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万元，资产总额为</w:t>
      </w:r>
      <w:r>
        <w:rPr>
          <w:rFonts w:hint="eastAsia" w:ascii="仿宋" w:hAnsi="仿宋" w:eastAsia="仿宋" w:cs="仿宋"/>
          <w:color w:val="auto"/>
          <w:sz w:val="24"/>
          <w:szCs w:val="24"/>
          <w:highlight w:val="none"/>
          <w:u w:val="single"/>
        </w:rPr>
        <w:tab/>
      </w:r>
      <w:r>
        <w:rPr>
          <w:rFonts w:hint="eastAsia" w:ascii="仿宋" w:hAnsi="仿宋" w:eastAsia="仿宋" w:cs="仿宋"/>
          <w:color w:val="auto"/>
          <w:sz w:val="24"/>
          <w:szCs w:val="24"/>
          <w:highlight w:val="none"/>
        </w:rPr>
        <w:t>万元，属于</w:t>
      </w:r>
      <w:r>
        <w:rPr>
          <w:rFonts w:hint="eastAsia" w:ascii="仿宋" w:hAnsi="仿宋" w:eastAsia="仿宋" w:cs="仿宋"/>
          <w:color w:val="auto"/>
          <w:sz w:val="24"/>
          <w:szCs w:val="24"/>
          <w:highlight w:val="none"/>
          <w:u w:val="single"/>
        </w:rPr>
        <w:t xml:space="preserve">      （中型企业、 小型企业、微型企业）</w:t>
      </w:r>
      <w:r>
        <w:rPr>
          <w:rFonts w:hint="eastAsia" w:ascii="仿宋" w:hAnsi="仿宋" w:eastAsia="仿宋" w:cs="仿宋"/>
          <w:color w:val="auto"/>
          <w:sz w:val="24"/>
          <w:szCs w:val="24"/>
          <w:highlight w:val="none"/>
        </w:rPr>
        <w:t>；</w:t>
      </w:r>
    </w:p>
    <w:p>
      <w:pPr>
        <w:pStyle w:val="21"/>
        <w:spacing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以上企业，不属于大企业的分支机构，不存在控股股东为大企业的情形，也不存在与大企业的负责人为同一人的情形。</w:t>
      </w:r>
    </w:p>
    <w:p>
      <w:pPr>
        <w:pStyle w:val="21"/>
        <w:spacing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本企业对上述声明内容的真实性负责。如有虚假，将依法承担相应责任。</w:t>
      </w:r>
    </w:p>
    <w:p>
      <w:pPr>
        <w:pStyle w:val="21"/>
        <w:spacing w:line="360" w:lineRule="auto"/>
        <w:ind w:firstLine="48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企业名称（盖章）：                    日 期：</w:t>
      </w:r>
    </w:p>
    <w:p>
      <w:pPr>
        <w:snapToGrid w:val="0"/>
        <w:spacing w:line="420" w:lineRule="exact"/>
        <w:ind w:firstLine="564" w:firstLineChars="235"/>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注明：</w:t>
      </w:r>
    </w:p>
    <w:p>
      <w:pPr>
        <w:numPr>
          <w:ilvl w:val="0"/>
          <w:numId w:val="14"/>
        </w:numPr>
        <w:snapToGrid w:val="0"/>
        <w:spacing w:line="420" w:lineRule="exact"/>
        <w:ind w:firstLine="517" w:firstLineChars="235"/>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从业人员、营业收入、资产总额填报上一年度数据，无上一年度数据的新成立企业可不填报。</w:t>
      </w:r>
    </w:p>
    <w:p>
      <w:pPr>
        <w:numPr>
          <w:ilvl w:val="0"/>
          <w:numId w:val="14"/>
        </w:numPr>
        <w:snapToGrid w:val="0"/>
        <w:spacing w:line="420" w:lineRule="exact"/>
        <w:ind w:firstLine="517" w:firstLineChars="235"/>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中小企业应当按照财库（2020）46号文《政府采购促进中小企业发展管理办法》和“工信部联企业〔2011〕300号通知中的《中小企业划型标准规定》为准。如实填写并提交《中小企业声明函》。</w:t>
      </w:r>
    </w:p>
    <w:p>
      <w:pPr>
        <w:numPr>
          <w:ilvl w:val="0"/>
          <w:numId w:val="14"/>
        </w:numPr>
        <w:snapToGrid w:val="0"/>
        <w:spacing w:line="420" w:lineRule="exact"/>
        <w:ind w:firstLine="517" w:firstLineChars="235"/>
        <w:rPr>
          <w:rFonts w:ascii="仿宋" w:hAnsi="仿宋" w:eastAsia="仿宋" w:cs="仿宋"/>
          <w:color w:val="auto"/>
          <w:sz w:val="24"/>
          <w:szCs w:val="24"/>
          <w:highlight w:val="none"/>
        </w:rPr>
      </w:pPr>
      <w:r>
        <w:rPr>
          <w:rFonts w:hint="eastAsia" w:ascii="仿宋" w:hAnsi="仿宋" w:eastAsia="仿宋" w:cs="仿宋"/>
          <w:color w:val="auto"/>
          <w:sz w:val="22"/>
          <w:szCs w:val="22"/>
          <w:highlight w:val="none"/>
        </w:rPr>
        <w:t>残疾人福利性单位按照《关于促进残疾人就业政府采购政策的通知》（财库〔2017〕141号）有关规定执行。</w:t>
      </w:r>
    </w:p>
    <w:p>
      <w:pPr>
        <w:numPr>
          <w:ilvl w:val="0"/>
          <w:numId w:val="14"/>
        </w:numPr>
        <w:snapToGrid w:val="0"/>
        <w:spacing w:line="420" w:lineRule="exact"/>
        <w:ind w:firstLine="517" w:firstLineChars="235"/>
        <w:rPr>
          <w:rFonts w:ascii="仿宋" w:hAnsi="仿宋" w:eastAsia="仿宋" w:cs="仿宋"/>
          <w:color w:val="auto"/>
          <w:sz w:val="24"/>
          <w:szCs w:val="24"/>
          <w:highlight w:val="none"/>
        </w:rPr>
      </w:pPr>
      <w:r>
        <w:rPr>
          <w:rFonts w:hint="eastAsia" w:ascii="仿宋" w:hAnsi="仿宋" w:eastAsia="仿宋" w:cs="仿宋"/>
          <w:color w:val="auto"/>
          <w:sz w:val="22"/>
          <w:szCs w:val="22"/>
          <w:highlight w:val="none"/>
        </w:rPr>
        <w:t>监狱企业按照《关于政府采购支持监狱企业发展有关问题的通知》（财库【2014】68号）有关规定执行。</w:t>
      </w:r>
    </w:p>
    <w:p>
      <w:pPr>
        <w:pStyle w:val="6"/>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5、资格证明材料所含内容的所有</w:t>
      </w:r>
      <w:bookmarkStart w:id="131" w:name="_Toc478169197"/>
      <w:bookmarkEnd w:id="131"/>
      <w:bookmarkStart w:id="132" w:name="_Toc505331182"/>
      <w:bookmarkEnd w:id="132"/>
      <w:bookmarkStart w:id="133" w:name="_Toc501715518"/>
      <w:r>
        <w:rPr>
          <w:rFonts w:hint="eastAsia" w:ascii="仿宋" w:hAnsi="仿宋" w:eastAsia="仿宋" w:cs="仿宋"/>
          <w:color w:val="auto"/>
          <w:sz w:val="24"/>
          <w:szCs w:val="24"/>
          <w:highlight w:val="none"/>
        </w:rPr>
        <w:t>复印件（加盖公章）</w:t>
      </w:r>
    </w:p>
    <w:p>
      <w:pPr>
        <w:pStyle w:val="6"/>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6、磋商供应商认为其他必要的材料</w:t>
      </w:r>
      <w:bookmarkEnd w:id="133"/>
    </w:p>
    <w:p>
      <w:pPr>
        <w:spacing w:line="360" w:lineRule="auto"/>
        <w:jc w:val="center"/>
        <w:rPr>
          <w:rFonts w:ascii="仿宋" w:hAnsi="仿宋" w:eastAsia="仿宋" w:cs="仿宋"/>
          <w:color w:val="auto"/>
          <w:sz w:val="28"/>
          <w:szCs w:val="28"/>
          <w:highlight w:val="none"/>
        </w:rPr>
      </w:pPr>
    </w:p>
    <w:p>
      <w:pPr>
        <w:spacing w:line="360" w:lineRule="auto"/>
        <w:jc w:val="center"/>
        <w:rPr>
          <w:rFonts w:ascii="仿宋" w:hAnsi="仿宋" w:eastAsia="仿宋" w:cs="仿宋"/>
          <w:color w:val="auto"/>
          <w:sz w:val="28"/>
          <w:szCs w:val="28"/>
          <w:highlight w:val="none"/>
        </w:rPr>
      </w:pPr>
    </w:p>
    <w:p>
      <w:pPr>
        <w:spacing w:line="360" w:lineRule="auto"/>
        <w:jc w:val="center"/>
        <w:rPr>
          <w:rFonts w:ascii="仿宋" w:hAnsi="仿宋" w:eastAsia="仿宋" w:cs="仿宋"/>
          <w:color w:val="auto"/>
          <w:sz w:val="28"/>
          <w:szCs w:val="28"/>
          <w:highlight w:val="none"/>
        </w:rPr>
      </w:pPr>
    </w:p>
    <w:p>
      <w:pPr>
        <w:spacing w:line="360" w:lineRule="auto"/>
        <w:jc w:val="center"/>
        <w:rPr>
          <w:rFonts w:ascii="仿宋" w:hAnsi="仿宋" w:eastAsia="仿宋" w:cs="仿宋"/>
          <w:color w:val="auto"/>
          <w:sz w:val="28"/>
          <w:szCs w:val="28"/>
          <w:highlight w:val="none"/>
        </w:rPr>
      </w:pPr>
    </w:p>
    <w:p>
      <w:pPr>
        <w:spacing w:line="360" w:lineRule="auto"/>
        <w:jc w:val="center"/>
        <w:rPr>
          <w:rFonts w:ascii="仿宋" w:hAnsi="仿宋" w:eastAsia="仿宋" w:cs="仿宋"/>
          <w:color w:val="auto"/>
          <w:sz w:val="28"/>
          <w:szCs w:val="28"/>
          <w:highlight w:val="none"/>
        </w:rPr>
      </w:pPr>
    </w:p>
    <w:p>
      <w:pPr>
        <w:spacing w:line="360" w:lineRule="auto"/>
        <w:jc w:val="center"/>
        <w:rPr>
          <w:rFonts w:ascii="仿宋" w:hAnsi="仿宋" w:eastAsia="仿宋" w:cs="仿宋"/>
          <w:color w:val="auto"/>
          <w:sz w:val="28"/>
          <w:szCs w:val="28"/>
          <w:highlight w:val="none"/>
        </w:rPr>
      </w:pPr>
    </w:p>
    <w:p>
      <w:pPr>
        <w:spacing w:line="360" w:lineRule="auto"/>
        <w:jc w:val="center"/>
        <w:rPr>
          <w:rFonts w:ascii="仿宋" w:hAnsi="仿宋" w:eastAsia="仿宋" w:cs="仿宋"/>
          <w:color w:val="auto"/>
          <w:sz w:val="28"/>
          <w:szCs w:val="28"/>
          <w:highlight w:val="none"/>
        </w:rPr>
      </w:pPr>
    </w:p>
    <w:p>
      <w:pPr>
        <w:spacing w:line="360" w:lineRule="auto"/>
        <w:jc w:val="center"/>
        <w:rPr>
          <w:rFonts w:ascii="仿宋" w:hAnsi="仿宋" w:eastAsia="仿宋" w:cs="仿宋"/>
          <w:color w:val="auto"/>
          <w:sz w:val="28"/>
          <w:szCs w:val="28"/>
          <w:highlight w:val="none"/>
        </w:rPr>
      </w:pPr>
    </w:p>
    <w:p>
      <w:pPr>
        <w:spacing w:line="360" w:lineRule="auto"/>
        <w:jc w:val="center"/>
        <w:rPr>
          <w:rFonts w:ascii="仿宋" w:hAnsi="仿宋" w:eastAsia="仿宋" w:cs="仿宋"/>
          <w:color w:val="auto"/>
          <w:sz w:val="28"/>
          <w:szCs w:val="28"/>
          <w:highlight w:val="none"/>
        </w:rPr>
      </w:pPr>
    </w:p>
    <w:p>
      <w:pPr>
        <w:spacing w:line="360" w:lineRule="auto"/>
        <w:jc w:val="center"/>
        <w:rPr>
          <w:rFonts w:ascii="仿宋" w:hAnsi="仿宋" w:eastAsia="仿宋" w:cs="仿宋"/>
          <w:color w:val="auto"/>
          <w:sz w:val="28"/>
          <w:szCs w:val="28"/>
          <w:highlight w:val="none"/>
        </w:rPr>
      </w:pPr>
    </w:p>
    <w:p>
      <w:pPr>
        <w:spacing w:line="360" w:lineRule="auto"/>
        <w:jc w:val="center"/>
        <w:rPr>
          <w:rFonts w:ascii="仿宋" w:hAnsi="仿宋" w:eastAsia="仿宋" w:cs="仿宋"/>
          <w:color w:val="auto"/>
          <w:sz w:val="28"/>
          <w:szCs w:val="28"/>
          <w:highlight w:val="none"/>
        </w:rPr>
      </w:pPr>
    </w:p>
    <w:p>
      <w:pPr>
        <w:spacing w:line="360" w:lineRule="auto"/>
        <w:jc w:val="center"/>
        <w:rPr>
          <w:rFonts w:ascii="仿宋" w:hAnsi="仿宋" w:eastAsia="仿宋" w:cs="仿宋"/>
          <w:color w:val="auto"/>
          <w:sz w:val="28"/>
          <w:szCs w:val="28"/>
          <w:highlight w:val="none"/>
        </w:rPr>
      </w:pPr>
    </w:p>
    <w:p>
      <w:pPr>
        <w:spacing w:line="360" w:lineRule="auto"/>
        <w:jc w:val="center"/>
        <w:rPr>
          <w:rFonts w:ascii="仿宋" w:hAnsi="仿宋" w:eastAsia="仿宋" w:cs="仿宋"/>
          <w:color w:val="auto"/>
          <w:sz w:val="28"/>
          <w:szCs w:val="28"/>
          <w:highlight w:val="none"/>
        </w:rPr>
      </w:pPr>
    </w:p>
    <w:p>
      <w:pPr>
        <w:spacing w:line="360" w:lineRule="auto"/>
        <w:jc w:val="center"/>
        <w:rPr>
          <w:rFonts w:ascii="仿宋" w:hAnsi="仿宋" w:eastAsia="仿宋" w:cs="仿宋"/>
          <w:color w:val="auto"/>
          <w:sz w:val="28"/>
          <w:szCs w:val="28"/>
          <w:highlight w:val="none"/>
        </w:rPr>
      </w:pPr>
    </w:p>
    <w:p>
      <w:pPr>
        <w:spacing w:line="360" w:lineRule="auto"/>
        <w:jc w:val="center"/>
        <w:rPr>
          <w:rFonts w:ascii="仿宋" w:hAnsi="仿宋" w:eastAsia="仿宋" w:cs="仿宋"/>
          <w:color w:val="auto"/>
          <w:sz w:val="28"/>
          <w:szCs w:val="28"/>
          <w:highlight w:val="none"/>
        </w:rPr>
      </w:pPr>
    </w:p>
    <w:p>
      <w:pPr>
        <w:spacing w:line="360" w:lineRule="auto"/>
        <w:jc w:val="center"/>
        <w:rPr>
          <w:rFonts w:ascii="仿宋" w:hAnsi="仿宋" w:eastAsia="仿宋" w:cs="仿宋"/>
          <w:color w:val="auto"/>
          <w:sz w:val="28"/>
          <w:szCs w:val="28"/>
          <w:highlight w:val="none"/>
        </w:rPr>
      </w:pPr>
    </w:p>
    <w:p>
      <w:pPr>
        <w:pStyle w:val="2"/>
        <w:ind w:firstLine="560"/>
        <w:rPr>
          <w:rFonts w:ascii="仿宋" w:hAnsi="仿宋" w:eastAsia="仿宋" w:cs="仿宋"/>
          <w:color w:val="auto"/>
          <w:sz w:val="28"/>
          <w:szCs w:val="28"/>
          <w:highlight w:val="none"/>
        </w:rPr>
      </w:pPr>
    </w:p>
    <w:p>
      <w:pPr>
        <w:pStyle w:val="2"/>
        <w:ind w:firstLine="560"/>
        <w:rPr>
          <w:rFonts w:ascii="仿宋" w:hAnsi="仿宋" w:eastAsia="仿宋" w:cs="仿宋"/>
          <w:color w:val="auto"/>
          <w:sz w:val="28"/>
          <w:szCs w:val="28"/>
          <w:highlight w:val="none"/>
        </w:rPr>
      </w:pPr>
    </w:p>
    <w:p>
      <w:pPr>
        <w:pStyle w:val="3"/>
        <w:rPr>
          <w:rFonts w:ascii="仿宋" w:hAnsi="仿宋" w:eastAsia="仿宋" w:cs="仿宋"/>
          <w:color w:val="auto"/>
          <w:highlight w:val="none"/>
        </w:rPr>
      </w:pPr>
    </w:p>
    <w:p>
      <w:pPr>
        <w:rPr>
          <w:rFonts w:ascii="仿宋" w:hAnsi="仿宋" w:eastAsia="仿宋" w:cs="仿宋"/>
          <w:color w:val="auto"/>
          <w:highlight w:val="none"/>
        </w:rPr>
      </w:pPr>
    </w:p>
    <w:p>
      <w:pPr>
        <w:spacing w:line="360" w:lineRule="auto"/>
        <w:jc w:val="center"/>
        <w:rPr>
          <w:rFonts w:ascii="仿宋" w:hAnsi="仿宋" w:eastAsia="仿宋" w:cs="仿宋"/>
          <w:color w:val="auto"/>
          <w:sz w:val="28"/>
          <w:szCs w:val="28"/>
          <w:highlight w:val="none"/>
        </w:rPr>
      </w:pPr>
    </w:p>
    <w:p>
      <w:pPr>
        <w:spacing w:line="360" w:lineRule="auto"/>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第二部分技术标主要内容（单独密封）</w:t>
      </w:r>
    </w:p>
    <w:p>
      <w:pPr>
        <w:spacing w:line="360" w:lineRule="auto"/>
        <w:jc w:val="center"/>
        <w:rPr>
          <w:rFonts w:ascii="仿宋" w:hAnsi="仿宋" w:eastAsia="仿宋" w:cs="仿宋"/>
          <w:color w:val="auto"/>
          <w:sz w:val="24"/>
          <w:szCs w:val="24"/>
          <w:highlight w:val="none"/>
        </w:rPr>
      </w:pPr>
    </w:p>
    <w:p>
      <w:pPr>
        <w:pStyle w:val="69"/>
        <w:spacing w:line="360" w:lineRule="auto"/>
        <w:ind w:left="420" w:firstLine="0" w:firstLineChars="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目录</w:t>
      </w:r>
    </w:p>
    <w:p>
      <w:pPr>
        <w:pStyle w:val="69"/>
        <w:spacing w:line="360" w:lineRule="auto"/>
        <w:ind w:left="420" w:firstLine="0" w:firstLineChars="0"/>
        <w:jc w:val="center"/>
        <w:rPr>
          <w:rFonts w:ascii="仿宋" w:hAnsi="仿宋" w:eastAsia="仿宋" w:cs="仿宋"/>
          <w:color w:val="auto"/>
          <w:sz w:val="24"/>
          <w:szCs w:val="24"/>
          <w:highlight w:val="none"/>
        </w:rPr>
      </w:pPr>
    </w:p>
    <w:p>
      <w:pPr>
        <w:snapToGrid w:val="0"/>
        <w:spacing w:line="360" w:lineRule="auto"/>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商务技术标包（应包括但不限于以下内容。不得出现报价，否则为废标）：</w:t>
      </w:r>
    </w:p>
    <w:p>
      <w:pPr>
        <w:spacing w:line="440" w:lineRule="exact"/>
        <w:ind w:firstLine="240" w:firstLineChars="100"/>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1、封面</w:t>
      </w:r>
    </w:p>
    <w:p>
      <w:pPr>
        <w:spacing w:line="440" w:lineRule="exact"/>
        <w:ind w:firstLine="240" w:firstLineChars="100"/>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2、磋商响应函</w:t>
      </w:r>
    </w:p>
    <w:p>
      <w:pPr>
        <w:pStyle w:val="3"/>
        <w:spacing w:line="360" w:lineRule="auto"/>
        <w:ind w:firstLine="240" w:firstLineChars="1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3、商务部分正负偏离表</w:t>
      </w:r>
    </w:p>
    <w:p>
      <w:pPr>
        <w:pStyle w:val="3"/>
        <w:spacing w:line="360" w:lineRule="auto"/>
        <w:ind w:firstLine="240" w:firstLineChars="1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4、技术部分正负偏离表</w:t>
      </w:r>
    </w:p>
    <w:p>
      <w:pPr>
        <w:adjustRightInd w:val="0"/>
        <w:snapToGrid w:val="0"/>
        <w:spacing w:line="360" w:lineRule="auto"/>
        <w:ind w:firstLine="240" w:firstLineChars="100"/>
        <w:jc w:val="left"/>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5、根据第六章“评标办法”2.2.2 条款技术标的评审因素及评审标准提供相关投标资料。</w:t>
      </w:r>
    </w:p>
    <w:p>
      <w:pPr>
        <w:pStyle w:val="3"/>
        <w:rPr>
          <w:rFonts w:ascii="仿宋" w:hAnsi="仿宋" w:eastAsia="仿宋" w:cs="仿宋"/>
          <w:color w:val="auto"/>
          <w:highlight w:val="none"/>
        </w:rPr>
      </w:pPr>
    </w:p>
    <w:p>
      <w:pPr>
        <w:adjustRightInd w:val="0"/>
        <w:snapToGrid w:val="0"/>
        <w:spacing w:line="360" w:lineRule="auto"/>
        <w:jc w:val="lef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注明：1、各投标单位根据本项目的技术标文件目录中的内容按顺序编制目录和页码范围（各条款的具体内容及要求请按照本磋商文件第六章“评标办法”2.2.2 条款技术标的评审因素及评审标准提供相关投标资料），技术标的以上条款中纸质所有证明材料或证书需提供复印件并加盖单位公章，</w:t>
      </w:r>
      <w:r>
        <w:rPr>
          <w:rFonts w:hint="eastAsia" w:ascii="仿宋" w:hAnsi="仿宋" w:eastAsia="仿宋" w:cs="仿宋"/>
          <w:bCs/>
          <w:color w:val="auto"/>
          <w:sz w:val="24"/>
          <w:szCs w:val="24"/>
          <w:highlight w:val="none"/>
        </w:rPr>
        <w:t>投标文件中资料不清晰或资料不全的不予得分</w:t>
      </w:r>
      <w:r>
        <w:rPr>
          <w:rFonts w:hint="eastAsia" w:ascii="仿宋" w:hAnsi="仿宋" w:eastAsia="仿宋" w:cs="仿宋"/>
          <w:b/>
          <w:bCs/>
          <w:color w:val="auto"/>
          <w:sz w:val="24"/>
          <w:szCs w:val="24"/>
          <w:highlight w:val="none"/>
        </w:rPr>
        <w:t>，造成一切后果由投标单位承担。</w:t>
      </w:r>
    </w:p>
    <w:p>
      <w:pPr>
        <w:spacing w:line="360" w:lineRule="auto"/>
        <w:jc w:val="center"/>
        <w:rPr>
          <w:rFonts w:ascii="仿宋" w:hAnsi="仿宋" w:eastAsia="仿宋" w:cs="仿宋"/>
          <w:b/>
          <w:bCs/>
          <w:color w:val="auto"/>
          <w:sz w:val="24"/>
          <w:szCs w:val="24"/>
          <w:highlight w:val="none"/>
        </w:rPr>
      </w:pPr>
    </w:p>
    <w:p>
      <w:pPr>
        <w:spacing w:line="360" w:lineRule="auto"/>
        <w:jc w:val="center"/>
        <w:rPr>
          <w:rFonts w:ascii="仿宋" w:hAnsi="仿宋" w:eastAsia="仿宋" w:cs="仿宋"/>
          <w:color w:val="auto"/>
          <w:sz w:val="24"/>
          <w:szCs w:val="24"/>
          <w:highlight w:val="none"/>
        </w:rPr>
      </w:pPr>
    </w:p>
    <w:p>
      <w:pPr>
        <w:spacing w:line="360" w:lineRule="auto"/>
        <w:jc w:val="center"/>
        <w:rPr>
          <w:rFonts w:ascii="仿宋" w:hAnsi="仿宋" w:eastAsia="仿宋" w:cs="仿宋"/>
          <w:b/>
          <w:bCs/>
          <w:color w:val="auto"/>
          <w:sz w:val="28"/>
          <w:szCs w:val="28"/>
          <w:highlight w:val="none"/>
        </w:rPr>
      </w:pPr>
      <w:r>
        <w:rPr>
          <w:rFonts w:hint="eastAsia" w:ascii="仿宋" w:hAnsi="仿宋" w:eastAsia="仿宋" w:cs="仿宋"/>
          <w:color w:val="auto"/>
          <w:sz w:val="24"/>
          <w:szCs w:val="24"/>
          <w:highlight w:val="none"/>
        </w:rPr>
        <w:br w:type="page"/>
      </w:r>
      <w:r>
        <w:rPr>
          <w:rFonts w:hint="eastAsia" w:ascii="仿宋" w:hAnsi="仿宋" w:eastAsia="仿宋" w:cs="仿宋"/>
          <w:color w:val="auto"/>
          <w:sz w:val="24"/>
          <w:szCs w:val="24"/>
          <w:highlight w:val="none"/>
        </w:rPr>
        <w:t>一、</w:t>
      </w:r>
      <w:r>
        <w:rPr>
          <w:rFonts w:hint="eastAsia" w:ascii="仿宋" w:hAnsi="仿宋" w:eastAsia="仿宋" w:cs="仿宋"/>
          <w:b/>
          <w:bCs/>
          <w:color w:val="auto"/>
          <w:sz w:val="28"/>
          <w:szCs w:val="28"/>
          <w:highlight w:val="none"/>
        </w:rPr>
        <w:t>磋商响应函</w:t>
      </w:r>
    </w:p>
    <w:p>
      <w:pPr>
        <w:spacing w:line="360" w:lineRule="auto"/>
        <w:rPr>
          <w:rFonts w:ascii="仿宋" w:hAnsi="仿宋" w:eastAsia="仿宋" w:cs="仿宋"/>
          <w:bCs/>
          <w:color w:val="auto"/>
          <w:sz w:val="24"/>
          <w:szCs w:val="24"/>
          <w:highlight w:val="none"/>
        </w:rPr>
      </w:pPr>
      <w:r>
        <w:rPr>
          <w:rFonts w:hint="eastAsia" w:ascii="仿宋" w:hAnsi="仿宋" w:eastAsia="仿宋" w:cs="仿宋"/>
          <w:iCs/>
          <w:color w:val="auto"/>
          <w:sz w:val="22"/>
          <w:szCs w:val="22"/>
          <w:highlight w:val="none"/>
          <w:u w:val="single"/>
        </w:rPr>
        <w:t>（招标人）</w:t>
      </w:r>
      <w:r>
        <w:rPr>
          <w:rFonts w:hint="eastAsia" w:ascii="仿宋" w:hAnsi="仿宋" w:eastAsia="仿宋" w:cs="仿宋"/>
          <w:color w:val="auto"/>
          <w:sz w:val="24"/>
          <w:szCs w:val="24"/>
          <w:highlight w:val="none"/>
        </w:rPr>
        <w:t>：</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依据贵单位 （采购项目名称及项目编号)项目公开招标的邀请，我方授权（姓名）（职务）为全权代表参加该项目的投标，全权处理本次投标的有关事宜。同时，我公司声明如下：</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1、同意并接受磋商文件的各项要求，遵守磋商文件中的各项规定，按磋商文件的要求提供报价。</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2、我公司已经详细阅读了全部磋商文件及其附件，我方已完全清晰理解磋商文件的要求，不存在任何含糊不清和误解之处，同意放弃对这些文件所提出的异议和质疑的权利。</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3、我公司已毫无保留地向贵方提供一切所需的证明材料。</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4、我公司承诺在本次投标中提供的一切文件，无论是原件还是复印件均真实合法有效，绝无任何虚假、伪造和夸大的成份。否则，愿承担相应的后果和法律责任。</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5、我公司尊重评标委员会所作的评定结果，同时清楚理解到报价最低并非意味着必定获得成交资格。</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6、一旦我方成交,我方将根据磋商文件的要求和投标文件的承诺签订合同，严格履行合同的责任和义务,并保证在磋商文件规定的时间完成项目，交付采购单位验收、使用。</w:t>
      </w:r>
    </w:p>
    <w:p>
      <w:pPr>
        <w:spacing w:line="360" w:lineRule="auto"/>
        <w:ind w:firstLine="1960" w:firstLineChars="700"/>
        <w:rPr>
          <w:rFonts w:ascii="仿宋" w:hAnsi="仿宋" w:eastAsia="仿宋" w:cs="仿宋"/>
          <w:color w:val="auto"/>
          <w:sz w:val="28"/>
          <w:szCs w:val="28"/>
          <w:highlight w:val="none"/>
        </w:rPr>
      </w:pPr>
    </w:p>
    <w:p>
      <w:pPr>
        <w:spacing w:line="360" w:lineRule="auto"/>
        <w:ind w:firstLine="1680" w:firstLineChars="700"/>
        <w:jc w:val="righ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磋商供应商：（加盖公章）</w:t>
      </w:r>
    </w:p>
    <w:p>
      <w:pPr>
        <w:spacing w:line="360" w:lineRule="auto"/>
        <w:ind w:firstLine="1680" w:firstLineChars="700"/>
        <w:jc w:val="righ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法定代表人或被授权人：（签字或盖章）</w:t>
      </w:r>
    </w:p>
    <w:p>
      <w:pPr>
        <w:spacing w:line="360" w:lineRule="auto"/>
        <w:ind w:firstLine="4320" w:firstLineChars="1800"/>
        <w:jc w:val="right"/>
        <w:rPr>
          <w:rFonts w:ascii="仿宋" w:hAnsi="仿宋" w:eastAsia="仿宋" w:cs="仿宋"/>
          <w:color w:val="auto"/>
          <w:sz w:val="24"/>
          <w:szCs w:val="24"/>
          <w:highlight w:val="none"/>
        </w:rPr>
      </w:pPr>
    </w:p>
    <w:p>
      <w:pPr>
        <w:spacing w:line="360" w:lineRule="auto"/>
        <w:ind w:firstLine="4320" w:firstLineChars="1800"/>
        <w:jc w:val="righ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autoSpaceDE w:val="0"/>
        <w:autoSpaceDN w:val="0"/>
        <w:adjustRightInd w:val="0"/>
        <w:spacing w:line="360" w:lineRule="auto"/>
        <w:jc w:val="center"/>
        <w:rPr>
          <w:rFonts w:ascii="仿宋" w:hAnsi="仿宋" w:eastAsia="仿宋" w:cs="仿宋"/>
          <w:color w:val="auto"/>
          <w:szCs w:val="24"/>
          <w:highlight w:val="none"/>
        </w:rPr>
      </w:pPr>
    </w:p>
    <w:p>
      <w:pPr>
        <w:pStyle w:val="3"/>
        <w:spacing w:line="360" w:lineRule="auto"/>
        <w:ind w:firstLine="2800" w:firstLineChars="1000"/>
        <w:rPr>
          <w:rFonts w:ascii="仿宋" w:hAnsi="仿宋" w:eastAsia="仿宋" w:cs="仿宋"/>
          <w:color w:val="auto"/>
          <w:highlight w:val="none"/>
        </w:rPr>
      </w:pPr>
    </w:p>
    <w:p>
      <w:pPr>
        <w:pStyle w:val="3"/>
        <w:spacing w:line="360" w:lineRule="auto"/>
        <w:ind w:firstLine="2800" w:firstLineChars="1000"/>
        <w:rPr>
          <w:rFonts w:ascii="仿宋" w:hAnsi="仿宋" w:eastAsia="仿宋" w:cs="仿宋"/>
          <w:color w:val="auto"/>
          <w:highlight w:val="none"/>
        </w:rPr>
      </w:pPr>
    </w:p>
    <w:p>
      <w:pPr>
        <w:pStyle w:val="3"/>
        <w:spacing w:line="360" w:lineRule="auto"/>
        <w:ind w:firstLine="2800" w:firstLineChars="1000"/>
        <w:rPr>
          <w:rFonts w:ascii="仿宋" w:hAnsi="仿宋" w:eastAsia="仿宋" w:cs="仿宋"/>
          <w:color w:val="auto"/>
          <w:highlight w:val="none"/>
        </w:rPr>
      </w:pPr>
    </w:p>
    <w:p>
      <w:pPr>
        <w:snapToGrid w:val="0"/>
        <w:spacing w:line="300" w:lineRule="auto"/>
        <w:contextualSpacing/>
        <w:jc w:val="center"/>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二、</w:t>
      </w:r>
      <w:r>
        <w:rPr>
          <w:rFonts w:hint="eastAsia" w:ascii="仿宋" w:hAnsi="仿宋" w:eastAsia="仿宋" w:cs="仿宋"/>
          <w:b/>
          <w:color w:val="auto"/>
          <w:sz w:val="24"/>
          <w:szCs w:val="24"/>
          <w:highlight w:val="none"/>
        </w:rPr>
        <w:t>商务部分正负偏离表</w:t>
      </w:r>
    </w:p>
    <w:p>
      <w:pPr>
        <w:ind w:firstLine="480" w:firstLineChars="20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（由供应商据实填写，表格不够自行添加）</w:t>
      </w:r>
    </w:p>
    <w:tbl>
      <w:tblPr>
        <w:tblStyle w:val="22"/>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84"/>
        <w:gridCol w:w="2139"/>
        <w:gridCol w:w="1868"/>
        <w:gridCol w:w="2410"/>
        <w:gridCol w:w="13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460" w:type="pct"/>
            <w:tcBorders>
              <w:top w:val="single" w:color="auto" w:sz="12" w:space="0"/>
              <w:left w:val="single" w:color="auto" w:sz="12" w:space="0"/>
              <w:bottom w:val="single" w:color="auto" w:sz="6" w:space="0"/>
              <w:right w:val="single" w:color="auto" w:sz="6" w:space="0"/>
            </w:tcBorders>
            <w:vAlign w:val="center"/>
          </w:tcPr>
          <w:p>
            <w:pPr>
              <w:spacing w:line="3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254"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货物或服务名称</w:t>
            </w:r>
          </w:p>
        </w:tc>
        <w:tc>
          <w:tcPr>
            <w:tcW w:w="1095"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磋商文件要求的商务条款</w:t>
            </w:r>
          </w:p>
        </w:tc>
        <w:tc>
          <w:tcPr>
            <w:tcW w:w="1413"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响应文件响应情况</w:t>
            </w:r>
          </w:p>
        </w:tc>
        <w:tc>
          <w:tcPr>
            <w:tcW w:w="778" w:type="pct"/>
            <w:tcBorders>
              <w:top w:val="single" w:color="auto" w:sz="12" w:space="0"/>
              <w:left w:val="single" w:color="auto" w:sz="6" w:space="0"/>
              <w:bottom w:val="single" w:color="auto" w:sz="6" w:space="0"/>
              <w:right w:val="single" w:color="auto" w:sz="12" w:space="0"/>
            </w:tcBorders>
          </w:tcPr>
          <w:p>
            <w:pPr>
              <w:spacing w:line="340" w:lineRule="exact"/>
              <w:jc w:val="center"/>
              <w:rPr>
                <w:rFonts w:ascii="仿宋" w:hAnsi="仿宋" w:eastAsia="仿宋" w:cs="仿宋"/>
                <w:color w:val="auto"/>
                <w:sz w:val="24"/>
                <w:szCs w:val="24"/>
                <w:highlight w:val="none"/>
              </w:rPr>
            </w:pPr>
          </w:p>
          <w:p>
            <w:pPr>
              <w:spacing w:line="3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460" w:type="pct"/>
            <w:tcBorders>
              <w:top w:val="single" w:color="auto" w:sz="6" w:space="0"/>
              <w:left w:val="single" w:color="auto" w:sz="12" w:space="0"/>
              <w:bottom w:val="single" w:color="auto" w:sz="6" w:space="0"/>
              <w:right w:val="single" w:color="auto" w:sz="6" w:space="0"/>
            </w:tcBorders>
          </w:tcPr>
          <w:p>
            <w:pPr>
              <w:spacing w:line="3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254"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仿宋" w:hAnsi="仿宋" w:eastAsia="仿宋" w:cs="仿宋"/>
                <w:color w:val="auto"/>
                <w:sz w:val="24"/>
                <w:szCs w:val="24"/>
                <w:highlight w:val="none"/>
              </w:rPr>
            </w:pPr>
          </w:p>
        </w:tc>
        <w:tc>
          <w:tcPr>
            <w:tcW w:w="1095"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仿宋" w:hAnsi="仿宋" w:eastAsia="仿宋" w:cs="仿宋"/>
                <w:color w:val="auto"/>
                <w:sz w:val="24"/>
                <w:szCs w:val="24"/>
                <w:highlight w:val="none"/>
              </w:rPr>
            </w:pPr>
          </w:p>
        </w:tc>
        <w:tc>
          <w:tcPr>
            <w:tcW w:w="1413"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仿宋" w:hAnsi="仿宋" w:eastAsia="仿宋" w:cs="仿宋"/>
                <w:color w:val="auto"/>
                <w:sz w:val="24"/>
                <w:szCs w:val="24"/>
                <w:highlight w:val="none"/>
              </w:rPr>
            </w:pPr>
          </w:p>
        </w:tc>
        <w:tc>
          <w:tcPr>
            <w:tcW w:w="778" w:type="pct"/>
            <w:tcBorders>
              <w:top w:val="single" w:color="auto" w:sz="6" w:space="0"/>
              <w:left w:val="single" w:color="auto" w:sz="6" w:space="0"/>
              <w:bottom w:val="single" w:color="auto" w:sz="6" w:space="0"/>
              <w:right w:val="single" w:color="auto" w:sz="12" w:space="0"/>
            </w:tcBorders>
          </w:tcPr>
          <w:p>
            <w:pPr>
              <w:spacing w:line="340" w:lineRule="exact"/>
              <w:jc w:val="left"/>
              <w:rPr>
                <w:rFonts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460" w:type="pct"/>
            <w:tcBorders>
              <w:top w:val="single" w:color="auto" w:sz="6" w:space="0"/>
              <w:left w:val="single" w:color="auto" w:sz="12" w:space="0"/>
              <w:bottom w:val="single" w:color="auto" w:sz="6" w:space="0"/>
              <w:right w:val="single" w:color="auto" w:sz="6" w:space="0"/>
            </w:tcBorders>
          </w:tcPr>
          <w:p>
            <w:pPr>
              <w:spacing w:line="3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254"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仿宋" w:hAnsi="仿宋" w:eastAsia="仿宋" w:cs="仿宋"/>
                <w:color w:val="auto"/>
                <w:sz w:val="24"/>
                <w:szCs w:val="24"/>
                <w:highlight w:val="none"/>
              </w:rPr>
            </w:pPr>
          </w:p>
        </w:tc>
        <w:tc>
          <w:tcPr>
            <w:tcW w:w="1095"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仿宋" w:hAnsi="仿宋" w:eastAsia="仿宋" w:cs="仿宋"/>
                <w:color w:val="auto"/>
                <w:sz w:val="24"/>
                <w:szCs w:val="24"/>
                <w:highlight w:val="none"/>
              </w:rPr>
            </w:pPr>
          </w:p>
        </w:tc>
        <w:tc>
          <w:tcPr>
            <w:tcW w:w="1413"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仿宋" w:hAnsi="仿宋" w:eastAsia="仿宋" w:cs="仿宋"/>
                <w:color w:val="auto"/>
                <w:sz w:val="24"/>
                <w:szCs w:val="24"/>
                <w:highlight w:val="none"/>
              </w:rPr>
            </w:pPr>
          </w:p>
        </w:tc>
        <w:tc>
          <w:tcPr>
            <w:tcW w:w="778" w:type="pct"/>
            <w:tcBorders>
              <w:top w:val="single" w:color="auto" w:sz="6" w:space="0"/>
              <w:left w:val="single" w:color="auto" w:sz="6" w:space="0"/>
              <w:bottom w:val="single" w:color="auto" w:sz="6" w:space="0"/>
              <w:right w:val="single" w:color="auto" w:sz="12" w:space="0"/>
            </w:tcBorders>
          </w:tcPr>
          <w:p>
            <w:pPr>
              <w:spacing w:line="340" w:lineRule="exact"/>
              <w:jc w:val="left"/>
              <w:rPr>
                <w:rFonts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60" w:type="pct"/>
            <w:tcBorders>
              <w:top w:val="single" w:color="auto" w:sz="6" w:space="0"/>
              <w:left w:val="single" w:color="auto" w:sz="12" w:space="0"/>
              <w:bottom w:val="single" w:color="auto" w:sz="6" w:space="0"/>
              <w:right w:val="single" w:color="auto" w:sz="6" w:space="0"/>
            </w:tcBorders>
          </w:tcPr>
          <w:p>
            <w:pPr>
              <w:spacing w:line="3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254"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仿宋" w:hAnsi="仿宋" w:eastAsia="仿宋" w:cs="仿宋"/>
                <w:color w:val="auto"/>
                <w:sz w:val="24"/>
                <w:szCs w:val="24"/>
                <w:highlight w:val="none"/>
              </w:rPr>
            </w:pPr>
          </w:p>
        </w:tc>
        <w:tc>
          <w:tcPr>
            <w:tcW w:w="1095"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仿宋" w:hAnsi="仿宋" w:eastAsia="仿宋" w:cs="仿宋"/>
                <w:color w:val="auto"/>
                <w:sz w:val="24"/>
                <w:szCs w:val="24"/>
                <w:highlight w:val="none"/>
              </w:rPr>
            </w:pPr>
          </w:p>
        </w:tc>
        <w:tc>
          <w:tcPr>
            <w:tcW w:w="1413"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仿宋" w:hAnsi="仿宋" w:eastAsia="仿宋" w:cs="仿宋"/>
                <w:color w:val="auto"/>
                <w:sz w:val="24"/>
                <w:szCs w:val="24"/>
                <w:highlight w:val="none"/>
              </w:rPr>
            </w:pPr>
          </w:p>
        </w:tc>
        <w:tc>
          <w:tcPr>
            <w:tcW w:w="778" w:type="pct"/>
            <w:tcBorders>
              <w:top w:val="single" w:color="auto" w:sz="6" w:space="0"/>
              <w:left w:val="single" w:color="auto" w:sz="6" w:space="0"/>
              <w:bottom w:val="single" w:color="auto" w:sz="6" w:space="0"/>
              <w:right w:val="single" w:color="auto" w:sz="12" w:space="0"/>
            </w:tcBorders>
          </w:tcPr>
          <w:p>
            <w:pPr>
              <w:spacing w:line="340" w:lineRule="exact"/>
              <w:jc w:val="left"/>
              <w:rPr>
                <w:rFonts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0" w:type="pct"/>
            <w:tcBorders>
              <w:top w:val="single" w:color="auto" w:sz="6" w:space="0"/>
              <w:left w:val="single" w:color="auto" w:sz="12" w:space="0"/>
              <w:bottom w:val="single" w:color="auto" w:sz="12" w:space="0"/>
              <w:right w:val="single" w:color="auto" w:sz="6" w:space="0"/>
            </w:tcBorders>
          </w:tcPr>
          <w:p>
            <w:pPr>
              <w:spacing w:line="3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254" w:type="pct"/>
            <w:tcBorders>
              <w:top w:val="single" w:color="auto" w:sz="6" w:space="0"/>
              <w:left w:val="single" w:color="auto" w:sz="6" w:space="0"/>
              <w:bottom w:val="single" w:color="auto" w:sz="12" w:space="0"/>
              <w:right w:val="single" w:color="auto" w:sz="6" w:space="0"/>
            </w:tcBorders>
            <w:vAlign w:val="center"/>
          </w:tcPr>
          <w:p>
            <w:pPr>
              <w:spacing w:line="340" w:lineRule="exact"/>
              <w:jc w:val="left"/>
              <w:rPr>
                <w:rFonts w:ascii="仿宋" w:hAnsi="仿宋" w:eastAsia="仿宋" w:cs="仿宋"/>
                <w:color w:val="auto"/>
                <w:sz w:val="24"/>
                <w:szCs w:val="24"/>
                <w:highlight w:val="none"/>
              </w:rPr>
            </w:pPr>
          </w:p>
        </w:tc>
        <w:tc>
          <w:tcPr>
            <w:tcW w:w="1095" w:type="pct"/>
            <w:tcBorders>
              <w:top w:val="single" w:color="auto" w:sz="6" w:space="0"/>
              <w:left w:val="single" w:color="auto" w:sz="6" w:space="0"/>
              <w:bottom w:val="single" w:color="auto" w:sz="12" w:space="0"/>
              <w:right w:val="single" w:color="auto" w:sz="6" w:space="0"/>
            </w:tcBorders>
            <w:vAlign w:val="center"/>
          </w:tcPr>
          <w:p>
            <w:pPr>
              <w:spacing w:line="340" w:lineRule="exact"/>
              <w:jc w:val="left"/>
              <w:rPr>
                <w:rFonts w:ascii="仿宋" w:hAnsi="仿宋" w:eastAsia="仿宋" w:cs="仿宋"/>
                <w:color w:val="auto"/>
                <w:sz w:val="24"/>
                <w:szCs w:val="24"/>
                <w:highlight w:val="none"/>
              </w:rPr>
            </w:pPr>
          </w:p>
        </w:tc>
        <w:tc>
          <w:tcPr>
            <w:tcW w:w="1413" w:type="pct"/>
            <w:tcBorders>
              <w:top w:val="single" w:color="auto" w:sz="6" w:space="0"/>
              <w:left w:val="single" w:color="auto" w:sz="6" w:space="0"/>
              <w:bottom w:val="single" w:color="auto" w:sz="12" w:space="0"/>
              <w:right w:val="single" w:color="auto" w:sz="6" w:space="0"/>
            </w:tcBorders>
            <w:vAlign w:val="center"/>
          </w:tcPr>
          <w:p>
            <w:pPr>
              <w:spacing w:line="340" w:lineRule="exact"/>
              <w:jc w:val="left"/>
              <w:rPr>
                <w:rFonts w:ascii="仿宋" w:hAnsi="仿宋" w:eastAsia="仿宋" w:cs="仿宋"/>
                <w:color w:val="auto"/>
                <w:sz w:val="24"/>
                <w:szCs w:val="24"/>
                <w:highlight w:val="none"/>
              </w:rPr>
            </w:pPr>
          </w:p>
        </w:tc>
        <w:tc>
          <w:tcPr>
            <w:tcW w:w="778" w:type="pct"/>
            <w:tcBorders>
              <w:top w:val="single" w:color="auto" w:sz="6" w:space="0"/>
              <w:left w:val="single" w:color="auto" w:sz="6" w:space="0"/>
              <w:bottom w:val="single" w:color="auto" w:sz="12" w:space="0"/>
              <w:right w:val="single" w:color="auto" w:sz="12" w:space="0"/>
            </w:tcBorders>
          </w:tcPr>
          <w:p>
            <w:pPr>
              <w:spacing w:line="340" w:lineRule="exact"/>
              <w:jc w:val="left"/>
              <w:rPr>
                <w:rFonts w:ascii="仿宋" w:hAnsi="仿宋" w:eastAsia="仿宋" w:cs="仿宋"/>
                <w:color w:val="auto"/>
                <w:sz w:val="24"/>
                <w:szCs w:val="24"/>
                <w:highlight w:val="none"/>
              </w:rPr>
            </w:pPr>
          </w:p>
        </w:tc>
      </w:tr>
    </w:tbl>
    <w:p>
      <w:pPr>
        <w:snapToGrid w:val="0"/>
        <w:spacing w:line="300" w:lineRule="auto"/>
        <w:contextualSpacing/>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注：</w:t>
      </w:r>
    </w:p>
    <w:p>
      <w:pPr>
        <w:snapToGrid w:val="0"/>
        <w:spacing w:line="300" w:lineRule="auto"/>
        <w:ind w:firstLine="480" w:firstLineChars="200"/>
        <w:contextualSpacing/>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1.供应商提交的响应文件中与磋商文件第四章“项目需求”中的商务部分的要求，应逐条填列在偏离表中。</w:t>
      </w:r>
    </w:p>
    <w:p>
      <w:pPr>
        <w:snapToGrid w:val="0"/>
        <w:spacing w:line="300" w:lineRule="auto"/>
        <w:ind w:firstLine="480" w:firstLineChars="200"/>
        <w:contextualSpacing/>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 “偏离说明”一栏选择“正偏离”、“无偏离”、“负偏离”进行填写。正偏离、无偏离的确认和负偏离的是否响应招标文件，由评委认定。</w:t>
      </w:r>
    </w:p>
    <w:p>
      <w:pPr>
        <w:snapToGrid w:val="0"/>
        <w:spacing w:line="300" w:lineRule="auto"/>
        <w:ind w:firstLine="480" w:firstLineChars="200"/>
        <w:contextualSpacing/>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3.供应商如果虚假响应，将被暂停参加政府采购活动。</w:t>
      </w:r>
    </w:p>
    <w:p>
      <w:pPr>
        <w:snapToGrid w:val="0"/>
        <w:spacing w:line="300" w:lineRule="auto"/>
        <w:ind w:firstLine="480" w:firstLineChars="200"/>
        <w:contextualSpacing/>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4.供应商若提供其他增值服务，可以在表中自行据实填写。</w:t>
      </w:r>
    </w:p>
    <w:p>
      <w:pPr>
        <w:snapToGrid w:val="0"/>
        <w:spacing w:line="400" w:lineRule="exact"/>
        <w:ind w:firstLine="460" w:firstLineChars="192"/>
        <w:contextualSpacing/>
        <w:rPr>
          <w:rFonts w:ascii="仿宋" w:hAnsi="仿宋" w:eastAsia="仿宋" w:cs="仿宋"/>
          <w:b/>
          <w:color w:val="auto"/>
          <w:kern w:val="0"/>
          <w:sz w:val="24"/>
          <w:szCs w:val="24"/>
          <w:highlight w:val="none"/>
        </w:rPr>
      </w:pPr>
    </w:p>
    <w:p>
      <w:pPr>
        <w:snapToGrid w:val="0"/>
        <w:spacing w:line="400" w:lineRule="exact"/>
        <w:ind w:firstLine="460" w:firstLineChars="192"/>
        <w:contextualSpacing/>
        <w:rPr>
          <w:rFonts w:ascii="仿宋" w:hAnsi="仿宋" w:eastAsia="仿宋" w:cs="仿宋"/>
          <w:b/>
          <w:color w:val="auto"/>
          <w:kern w:val="0"/>
          <w:sz w:val="24"/>
          <w:szCs w:val="24"/>
          <w:highlight w:val="none"/>
        </w:rPr>
      </w:pPr>
    </w:p>
    <w:p>
      <w:pPr>
        <w:snapToGrid w:val="0"/>
        <w:spacing w:line="400" w:lineRule="exact"/>
        <w:ind w:firstLine="460" w:firstLineChars="192"/>
        <w:contextualSpacing/>
        <w:rPr>
          <w:rFonts w:ascii="仿宋" w:hAnsi="仿宋" w:eastAsia="仿宋" w:cs="仿宋"/>
          <w:b/>
          <w:color w:val="auto"/>
          <w:kern w:val="0"/>
          <w:sz w:val="24"/>
          <w:szCs w:val="24"/>
          <w:highlight w:val="none"/>
        </w:rPr>
      </w:pPr>
    </w:p>
    <w:p>
      <w:pPr>
        <w:snapToGrid w:val="0"/>
        <w:spacing w:line="400" w:lineRule="exact"/>
        <w:ind w:firstLine="460" w:firstLineChars="192"/>
        <w:contextualSpacing/>
        <w:rPr>
          <w:rFonts w:ascii="仿宋" w:hAnsi="仿宋" w:eastAsia="仿宋" w:cs="仿宋"/>
          <w:b/>
          <w:color w:val="auto"/>
          <w:kern w:val="0"/>
          <w:sz w:val="24"/>
          <w:szCs w:val="24"/>
          <w:highlight w:val="none"/>
        </w:rPr>
      </w:pPr>
    </w:p>
    <w:p>
      <w:pPr>
        <w:snapToGrid w:val="0"/>
        <w:spacing w:line="400" w:lineRule="exact"/>
        <w:ind w:firstLine="460" w:firstLineChars="192"/>
        <w:contextualSpacing/>
        <w:rPr>
          <w:rFonts w:ascii="仿宋" w:hAnsi="仿宋" w:eastAsia="仿宋" w:cs="仿宋"/>
          <w:b/>
          <w:color w:val="auto"/>
          <w:kern w:val="0"/>
          <w:sz w:val="24"/>
          <w:szCs w:val="24"/>
          <w:highlight w:val="none"/>
        </w:rPr>
      </w:pPr>
    </w:p>
    <w:p>
      <w:pPr>
        <w:snapToGrid w:val="0"/>
        <w:spacing w:line="400" w:lineRule="exact"/>
        <w:ind w:firstLine="460" w:firstLineChars="192"/>
        <w:contextualSpacing/>
        <w:rPr>
          <w:rFonts w:ascii="仿宋" w:hAnsi="仿宋" w:eastAsia="仿宋" w:cs="仿宋"/>
          <w:b/>
          <w:color w:val="auto"/>
          <w:kern w:val="0"/>
          <w:sz w:val="24"/>
          <w:szCs w:val="24"/>
          <w:highlight w:val="none"/>
        </w:rPr>
      </w:pPr>
    </w:p>
    <w:p>
      <w:pPr>
        <w:snapToGrid w:val="0"/>
        <w:spacing w:line="400" w:lineRule="exact"/>
        <w:ind w:firstLine="460" w:firstLineChars="192"/>
        <w:contextualSpacing/>
        <w:rPr>
          <w:rFonts w:ascii="仿宋" w:hAnsi="仿宋" w:eastAsia="仿宋" w:cs="仿宋"/>
          <w:b/>
          <w:color w:val="auto"/>
          <w:kern w:val="0"/>
          <w:sz w:val="24"/>
          <w:szCs w:val="24"/>
          <w:highlight w:val="none"/>
        </w:rPr>
      </w:pPr>
    </w:p>
    <w:p>
      <w:pPr>
        <w:snapToGrid w:val="0"/>
        <w:spacing w:line="400" w:lineRule="exact"/>
        <w:ind w:firstLine="460" w:firstLineChars="192"/>
        <w:contextualSpacing/>
        <w:rPr>
          <w:rFonts w:ascii="仿宋" w:hAnsi="仿宋" w:eastAsia="仿宋" w:cs="仿宋"/>
          <w:b/>
          <w:color w:val="auto"/>
          <w:kern w:val="0"/>
          <w:sz w:val="24"/>
          <w:szCs w:val="24"/>
          <w:highlight w:val="none"/>
        </w:rPr>
      </w:pPr>
    </w:p>
    <w:p>
      <w:pPr>
        <w:snapToGrid w:val="0"/>
        <w:spacing w:line="400" w:lineRule="exact"/>
        <w:ind w:firstLine="460" w:firstLineChars="192"/>
        <w:contextualSpacing/>
        <w:rPr>
          <w:rFonts w:ascii="仿宋" w:hAnsi="仿宋" w:eastAsia="仿宋" w:cs="仿宋"/>
          <w:b/>
          <w:color w:val="auto"/>
          <w:kern w:val="0"/>
          <w:sz w:val="24"/>
          <w:szCs w:val="24"/>
          <w:highlight w:val="none"/>
        </w:rPr>
      </w:pPr>
    </w:p>
    <w:p>
      <w:pPr>
        <w:snapToGrid w:val="0"/>
        <w:spacing w:line="400" w:lineRule="exact"/>
        <w:ind w:firstLine="460" w:firstLineChars="192"/>
        <w:contextualSpacing/>
        <w:rPr>
          <w:rFonts w:ascii="仿宋" w:hAnsi="仿宋" w:eastAsia="仿宋" w:cs="仿宋"/>
          <w:b/>
          <w:color w:val="auto"/>
          <w:kern w:val="0"/>
          <w:sz w:val="24"/>
          <w:szCs w:val="24"/>
          <w:highlight w:val="none"/>
        </w:rPr>
      </w:pPr>
    </w:p>
    <w:p>
      <w:pPr>
        <w:snapToGrid w:val="0"/>
        <w:spacing w:line="400" w:lineRule="exact"/>
        <w:ind w:firstLine="460" w:firstLineChars="192"/>
        <w:contextualSpacing/>
        <w:rPr>
          <w:rFonts w:ascii="仿宋" w:hAnsi="仿宋" w:eastAsia="仿宋" w:cs="仿宋"/>
          <w:b/>
          <w:color w:val="auto"/>
          <w:kern w:val="0"/>
          <w:sz w:val="24"/>
          <w:szCs w:val="24"/>
          <w:highlight w:val="none"/>
        </w:rPr>
      </w:pPr>
    </w:p>
    <w:p>
      <w:pPr>
        <w:snapToGrid w:val="0"/>
        <w:spacing w:line="400" w:lineRule="exact"/>
        <w:ind w:firstLine="460" w:firstLineChars="192"/>
        <w:contextualSpacing/>
        <w:rPr>
          <w:rFonts w:ascii="仿宋" w:hAnsi="仿宋" w:eastAsia="仿宋" w:cs="仿宋"/>
          <w:b/>
          <w:color w:val="auto"/>
          <w:kern w:val="0"/>
          <w:sz w:val="24"/>
          <w:szCs w:val="24"/>
          <w:highlight w:val="none"/>
        </w:rPr>
      </w:pPr>
    </w:p>
    <w:p>
      <w:pPr>
        <w:snapToGrid w:val="0"/>
        <w:spacing w:line="400" w:lineRule="exact"/>
        <w:ind w:firstLine="460" w:firstLineChars="192"/>
        <w:contextualSpacing/>
        <w:rPr>
          <w:rFonts w:ascii="仿宋" w:hAnsi="仿宋" w:eastAsia="仿宋" w:cs="仿宋"/>
          <w:b/>
          <w:color w:val="auto"/>
          <w:kern w:val="0"/>
          <w:sz w:val="24"/>
          <w:szCs w:val="24"/>
          <w:highlight w:val="none"/>
        </w:rPr>
      </w:pPr>
    </w:p>
    <w:p>
      <w:pPr>
        <w:snapToGrid w:val="0"/>
        <w:spacing w:line="400" w:lineRule="exact"/>
        <w:ind w:firstLine="460" w:firstLineChars="192"/>
        <w:contextualSpacing/>
        <w:rPr>
          <w:rFonts w:ascii="仿宋" w:hAnsi="仿宋" w:eastAsia="仿宋" w:cs="仿宋"/>
          <w:b/>
          <w:color w:val="auto"/>
          <w:kern w:val="0"/>
          <w:sz w:val="24"/>
          <w:szCs w:val="24"/>
          <w:highlight w:val="none"/>
        </w:rPr>
      </w:pPr>
    </w:p>
    <w:p>
      <w:pPr>
        <w:snapToGrid w:val="0"/>
        <w:spacing w:line="400" w:lineRule="exact"/>
        <w:ind w:firstLine="460" w:firstLineChars="192"/>
        <w:contextualSpacing/>
        <w:rPr>
          <w:rFonts w:ascii="仿宋" w:hAnsi="仿宋" w:eastAsia="仿宋" w:cs="仿宋"/>
          <w:b/>
          <w:color w:val="auto"/>
          <w:kern w:val="0"/>
          <w:sz w:val="24"/>
          <w:szCs w:val="24"/>
          <w:highlight w:val="none"/>
        </w:rPr>
      </w:pPr>
    </w:p>
    <w:p>
      <w:pPr>
        <w:snapToGrid w:val="0"/>
        <w:spacing w:line="400" w:lineRule="exact"/>
        <w:contextualSpacing/>
        <w:rPr>
          <w:rFonts w:ascii="仿宋" w:hAnsi="仿宋" w:eastAsia="仿宋" w:cs="仿宋"/>
          <w:color w:val="auto"/>
          <w:kern w:val="0"/>
          <w:sz w:val="24"/>
          <w:szCs w:val="24"/>
          <w:highlight w:val="none"/>
        </w:rPr>
      </w:pPr>
    </w:p>
    <w:p>
      <w:pP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br w:type="page"/>
      </w:r>
    </w:p>
    <w:p>
      <w:pPr>
        <w:snapToGrid w:val="0"/>
        <w:spacing w:line="300" w:lineRule="auto"/>
        <w:contextualSpacing/>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三、技术部分正负偏离表</w:t>
      </w:r>
    </w:p>
    <w:p>
      <w:pPr>
        <w:ind w:firstLine="480" w:firstLineChars="20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（由供应商据实填写，表格不够自行添加）</w:t>
      </w:r>
    </w:p>
    <w:tbl>
      <w:tblPr>
        <w:tblStyle w:val="22"/>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84"/>
        <w:gridCol w:w="2139"/>
        <w:gridCol w:w="1868"/>
        <w:gridCol w:w="2410"/>
        <w:gridCol w:w="13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460" w:type="pct"/>
            <w:tcBorders>
              <w:top w:val="single" w:color="auto" w:sz="12" w:space="0"/>
              <w:left w:val="single" w:color="auto" w:sz="12" w:space="0"/>
              <w:bottom w:val="single" w:color="auto" w:sz="6" w:space="0"/>
              <w:right w:val="single" w:color="auto" w:sz="6" w:space="0"/>
            </w:tcBorders>
            <w:vAlign w:val="center"/>
          </w:tcPr>
          <w:p>
            <w:pPr>
              <w:spacing w:line="3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254"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货物或服务名称</w:t>
            </w:r>
          </w:p>
        </w:tc>
        <w:tc>
          <w:tcPr>
            <w:tcW w:w="1095"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磋商文件要求的技术要求</w:t>
            </w:r>
          </w:p>
        </w:tc>
        <w:tc>
          <w:tcPr>
            <w:tcW w:w="1413"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响应文件响应情况</w:t>
            </w:r>
          </w:p>
        </w:tc>
        <w:tc>
          <w:tcPr>
            <w:tcW w:w="778" w:type="pct"/>
            <w:tcBorders>
              <w:top w:val="single" w:color="auto" w:sz="12" w:space="0"/>
              <w:left w:val="single" w:color="auto" w:sz="6" w:space="0"/>
              <w:bottom w:val="single" w:color="auto" w:sz="6" w:space="0"/>
              <w:right w:val="single" w:color="auto" w:sz="12" w:space="0"/>
            </w:tcBorders>
          </w:tcPr>
          <w:p>
            <w:pPr>
              <w:spacing w:line="340" w:lineRule="exact"/>
              <w:jc w:val="center"/>
              <w:rPr>
                <w:rFonts w:ascii="仿宋" w:hAnsi="仿宋" w:eastAsia="仿宋" w:cs="仿宋"/>
                <w:color w:val="auto"/>
                <w:sz w:val="24"/>
                <w:szCs w:val="24"/>
                <w:highlight w:val="none"/>
              </w:rPr>
            </w:pPr>
          </w:p>
          <w:p>
            <w:pPr>
              <w:spacing w:line="3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460" w:type="pct"/>
            <w:tcBorders>
              <w:top w:val="single" w:color="auto" w:sz="6" w:space="0"/>
              <w:left w:val="single" w:color="auto" w:sz="12" w:space="0"/>
              <w:bottom w:val="single" w:color="auto" w:sz="6" w:space="0"/>
              <w:right w:val="single" w:color="auto" w:sz="6" w:space="0"/>
            </w:tcBorders>
          </w:tcPr>
          <w:p>
            <w:pPr>
              <w:spacing w:line="3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254"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仿宋" w:hAnsi="仿宋" w:eastAsia="仿宋" w:cs="仿宋"/>
                <w:color w:val="auto"/>
                <w:sz w:val="24"/>
                <w:szCs w:val="24"/>
                <w:highlight w:val="none"/>
              </w:rPr>
            </w:pPr>
          </w:p>
        </w:tc>
        <w:tc>
          <w:tcPr>
            <w:tcW w:w="1095"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仿宋" w:hAnsi="仿宋" w:eastAsia="仿宋" w:cs="仿宋"/>
                <w:color w:val="auto"/>
                <w:sz w:val="24"/>
                <w:szCs w:val="24"/>
                <w:highlight w:val="none"/>
              </w:rPr>
            </w:pPr>
          </w:p>
        </w:tc>
        <w:tc>
          <w:tcPr>
            <w:tcW w:w="1413"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仿宋" w:hAnsi="仿宋" w:eastAsia="仿宋" w:cs="仿宋"/>
                <w:color w:val="auto"/>
                <w:sz w:val="24"/>
                <w:szCs w:val="24"/>
                <w:highlight w:val="none"/>
              </w:rPr>
            </w:pPr>
          </w:p>
        </w:tc>
        <w:tc>
          <w:tcPr>
            <w:tcW w:w="778" w:type="pct"/>
            <w:tcBorders>
              <w:top w:val="single" w:color="auto" w:sz="6" w:space="0"/>
              <w:left w:val="single" w:color="auto" w:sz="6" w:space="0"/>
              <w:bottom w:val="single" w:color="auto" w:sz="6" w:space="0"/>
              <w:right w:val="single" w:color="auto" w:sz="12" w:space="0"/>
            </w:tcBorders>
          </w:tcPr>
          <w:p>
            <w:pPr>
              <w:spacing w:line="340" w:lineRule="exact"/>
              <w:jc w:val="left"/>
              <w:rPr>
                <w:rFonts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trPr>
        <w:tc>
          <w:tcPr>
            <w:tcW w:w="460" w:type="pct"/>
            <w:tcBorders>
              <w:top w:val="single" w:color="auto" w:sz="6" w:space="0"/>
              <w:left w:val="single" w:color="auto" w:sz="12" w:space="0"/>
              <w:bottom w:val="single" w:color="auto" w:sz="6" w:space="0"/>
              <w:right w:val="single" w:color="auto" w:sz="6" w:space="0"/>
            </w:tcBorders>
          </w:tcPr>
          <w:p>
            <w:pPr>
              <w:spacing w:line="3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254"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仿宋" w:hAnsi="仿宋" w:eastAsia="仿宋" w:cs="仿宋"/>
                <w:color w:val="auto"/>
                <w:sz w:val="24"/>
                <w:szCs w:val="24"/>
                <w:highlight w:val="none"/>
              </w:rPr>
            </w:pPr>
          </w:p>
        </w:tc>
        <w:tc>
          <w:tcPr>
            <w:tcW w:w="1095"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仿宋" w:hAnsi="仿宋" w:eastAsia="仿宋" w:cs="仿宋"/>
                <w:color w:val="auto"/>
                <w:sz w:val="24"/>
                <w:szCs w:val="24"/>
                <w:highlight w:val="none"/>
              </w:rPr>
            </w:pPr>
          </w:p>
        </w:tc>
        <w:tc>
          <w:tcPr>
            <w:tcW w:w="1413"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仿宋" w:hAnsi="仿宋" w:eastAsia="仿宋" w:cs="仿宋"/>
                <w:color w:val="auto"/>
                <w:sz w:val="24"/>
                <w:szCs w:val="24"/>
                <w:highlight w:val="none"/>
              </w:rPr>
            </w:pPr>
          </w:p>
        </w:tc>
        <w:tc>
          <w:tcPr>
            <w:tcW w:w="778" w:type="pct"/>
            <w:tcBorders>
              <w:top w:val="single" w:color="auto" w:sz="6" w:space="0"/>
              <w:left w:val="single" w:color="auto" w:sz="6" w:space="0"/>
              <w:bottom w:val="single" w:color="auto" w:sz="6" w:space="0"/>
              <w:right w:val="single" w:color="auto" w:sz="12" w:space="0"/>
            </w:tcBorders>
          </w:tcPr>
          <w:p>
            <w:pPr>
              <w:spacing w:line="340" w:lineRule="exact"/>
              <w:jc w:val="left"/>
              <w:rPr>
                <w:rFonts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60" w:type="pct"/>
            <w:tcBorders>
              <w:top w:val="single" w:color="auto" w:sz="6" w:space="0"/>
              <w:left w:val="single" w:color="auto" w:sz="12" w:space="0"/>
              <w:bottom w:val="single" w:color="auto" w:sz="6" w:space="0"/>
              <w:right w:val="single" w:color="auto" w:sz="6" w:space="0"/>
            </w:tcBorders>
          </w:tcPr>
          <w:p>
            <w:pPr>
              <w:spacing w:line="3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254"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仿宋" w:hAnsi="仿宋" w:eastAsia="仿宋" w:cs="仿宋"/>
                <w:color w:val="auto"/>
                <w:sz w:val="24"/>
                <w:szCs w:val="24"/>
                <w:highlight w:val="none"/>
              </w:rPr>
            </w:pPr>
          </w:p>
        </w:tc>
        <w:tc>
          <w:tcPr>
            <w:tcW w:w="1095"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仿宋" w:hAnsi="仿宋" w:eastAsia="仿宋" w:cs="仿宋"/>
                <w:color w:val="auto"/>
                <w:sz w:val="24"/>
                <w:szCs w:val="24"/>
                <w:highlight w:val="none"/>
              </w:rPr>
            </w:pPr>
          </w:p>
        </w:tc>
        <w:tc>
          <w:tcPr>
            <w:tcW w:w="1413"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仿宋" w:hAnsi="仿宋" w:eastAsia="仿宋" w:cs="仿宋"/>
                <w:color w:val="auto"/>
                <w:sz w:val="24"/>
                <w:szCs w:val="24"/>
                <w:highlight w:val="none"/>
              </w:rPr>
            </w:pPr>
          </w:p>
        </w:tc>
        <w:tc>
          <w:tcPr>
            <w:tcW w:w="778" w:type="pct"/>
            <w:tcBorders>
              <w:top w:val="single" w:color="auto" w:sz="6" w:space="0"/>
              <w:left w:val="single" w:color="auto" w:sz="6" w:space="0"/>
              <w:bottom w:val="single" w:color="auto" w:sz="6" w:space="0"/>
              <w:right w:val="single" w:color="auto" w:sz="12" w:space="0"/>
            </w:tcBorders>
          </w:tcPr>
          <w:p>
            <w:pPr>
              <w:spacing w:line="340" w:lineRule="exact"/>
              <w:jc w:val="left"/>
              <w:rPr>
                <w:rFonts w:ascii="仿宋" w:hAnsi="仿宋" w:eastAsia="仿宋" w:cs="仿宋"/>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0" w:type="pct"/>
            <w:tcBorders>
              <w:top w:val="single" w:color="auto" w:sz="6" w:space="0"/>
              <w:left w:val="single" w:color="auto" w:sz="12" w:space="0"/>
              <w:bottom w:val="single" w:color="auto" w:sz="12" w:space="0"/>
              <w:right w:val="single" w:color="auto" w:sz="6" w:space="0"/>
            </w:tcBorders>
          </w:tcPr>
          <w:p>
            <w:pPr>
              <w:spacing w:line="34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254" w:type="pct"/>
            <w:tcBorders>
              <w:top w:val="single" w:color="auto" w:sz="6" w:space="0"/>
              <w:left w:val="single" w:color="auto" w:sz="6" w:space="0"/>
              <w:bottom w:val="single" w:color="auto" w:sz="12" w:space="0"/>
              <w:right w:val="single" w:color="auto" w:sz="6" w:space="0"/>
            </w:tcBorders>
            <w:vAlign w:val="center"/>
          </w:tcPr>
          <w:p>
            <w:pPr>
              <w:spacing w:line="340" w:lineRule="exact"/>
              <w:jc w:val="left"/>
              <w:rPr>
                <w:rFonts w:ascii="仿宋" w:hAnsi="仿宋" w:eastAsia="仿宋" w:cs="仿宋"/>
                <w:color w:val="auto"/>
                <w:sz w:val="24"/>
                <w:szCs w:val="24"/>
                <w:highlight w:val="none"/>
              </w:rPr>
            </w:pPr>
          </w:p>
        </w:tc>
        <w:tc>
          <w:tcPr>
            <w:tcW w:w="1095" w:type="pct"/>
            <w:tcBorders>
              <w:top w:val="single" w:color="auto" w:sz="6" w:space="0"/>
              <w:left w:val="single" w:color="auto" w:sz="6" w:space="0"/>
              <w:bottom w:val="single" w:color="auto" w:sz="12" w:space="0"/>
              <w:right w:val="single" w:color="auto" w:sz="6" w:space="0"/>
            </w:tcBorders>
            <w:vAlign w:val="center"/>
          </w:tcPr>
          <w:p>
            <w:pPr>
              <w:spacing w:line="340" w:lineRule="exact"/>
              <w:jc w:val="left"/>
              <w:rPr>
                <w:rFonts w:ascii="仿宋" w:hAnsi="仿宋" w:eastAsia="仿宋" w:cs="仿宋"/>
                <w:color w:val="auto"/>
                <w:sz w:val="24"/>
                <w:szCs w:val="24"/>
                <w:highlight w:val="none"/>
              </w:rPr>
            </w:pPr>
          </w:p>
        </w:tc>
        <w:tc>
          <w:tcPr>
            <w:tcW w:w="1413" w:type="pct"/>
            <w:tcBorders>
              <w:top w:val="single" w:color="auto" w:sz="6" w:space="0"/>
              <w:left w:val="single" w:color="auto" w:sz="6" w:space="0"/>
              <w:bottom w:val="single" w:color="auto" w:sz="12" w:space="0"/>
              <w:right w:val="single" w:color="auto" w:sz="6" w:space="0"/>
            </w:tcBorders>
            <w:vAlign w:val="center"/>
          </w:tcPr>
          <w:p>
            <w:pPr>
              <w:spacing w:line="340" w:lineRule="exact"/>
              <w:jc w:val="left"/>
              <w:rPr>
                <w:rFonts w:ascii="仿宋" w:hAnsi="仿宋" w:eastAsia="仿宋" w:cs="仿宋"/>
                <w:color w:val="auto"/>
                <w:sz w:val="24"/>
                <w:szCs w:val="24"/>
                <w:highlight w:val="none"/>
              </w:rPr>
            </w:pPr>
          </w:p>
        </w:tc>
        <w:tc>
          <w:tcPr>
            <w:tcW w:w="778" w:type="pct"/>
            <w:tcBorders>
              <w:top w:val="single" w:color="auto" w:sz="6" w:space="0"/>
              <w:left w:val="single" w:color="auto" w:sz="6" w:space="0"/>
              <w:bottom w:val="single" w:color="auto" w:sz="12" w:space="0"/>
              <w:right w:val="single" w:color="auto" w:sz="12" w:space="0"/>
            </w:tcBorders>
          </w:tcPr>
          <w:p>
            <w:pPr>
              <w:spacing w:line="340" w:lineRule="exact"/>
              <w:jc w:val="left"/>
              <w:rPr>
                <w:rFonts w:ascii="仿宋" w:hAnsi="仿宋" w:eastAsia="仿宋" w:cs="仿宋"/>
                <w:color w:val="auto"/>
                <w:sz w:val="24"/>
                <w:szCs w:val="24"/>
                <w:highlight w:val="none"/>
              </w:rPr>
            </w:pPr>
          </w:p>
        </w:tc>
      </w:tr>
    </w:tbl>
    <w:p>
      <w:pPr>
        <w:snapToGrid w:val="0"/>
        <w:spacing w:line="300" w:lineRule="auto"/>
        <w:contextualSpacing/>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注：</w:t>
      </w:r>
    </w:p>
    <w:p>
      <w:pPr>
        <w:snapToGrid w:val="0"/>
        <w:spacing w:line="300" w:lineRule="auto"/>
        <w:ind w:firstLine="480" w:firstLineChars="200"/>
        <w:contextualSpacing/>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1.供应商提交的响应文件中与磋商文件第四章“项目需求”中的技术部分的要求，应逐条填列在偏离表中。</w:t>
      </w:r>
    </w:p>
    <w:p>
      <w:pPr>
        <w:snapToGrid w:val="0"/>
        <w:spacing w:line="300" w:lineRule="auto"/>
        <w:ind w:firstLine="480" w:firstLineChars="200"/>
        <w:contextualSpacing/>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 “偏离说明”一栏选择“正偏离”、“无偏离”、“负偏离”进行填写。正偏离、无偏离的确认和负偏离的是否响应招标文件，由评委认定。</w:t>
      </w:r>
    </w:p>
    <w:p>
      <w:pPr>
        <w:snapToGrid w:val="0"/>
        <w:spacing w:line="300" w:lineRule="auto"/>
        <w:ind w:firstLine="480" w:firstLineChars="200"/>
        <w:contextualSpacing/>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3.供应商如果虚假响应，将被暂停参加政府采购活动。</w:t>
      </w:r>
    </w:p>
    <w:p>
      <w:pPr>
        <w:snapToGrid w:val="0"/>
        <w:spacing w:line="300" w:lineRule="auto"/>
        <w:ind w:firstLine="480" w:firstLineChars="200"/>
        <w:contextualSpacing/>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4.供应商若提供其他增值服务，可以在表中自行据实填写。</w:t>
      </w:r>
    </w:p>
    <w:p>
      <w:pPr>
        <w:spacing w:line="360" w:lineRule="auto"/>
        <w:rPr>
          <w:rFonts w:ascii="仿宋" w:hAnsi="仿宋" w:eastAsia="仿宋" w:cs="仿宋"/>
          <w:color w:val="auto"/>
          <w:sz w:val="24"/>
          <w:szCs w:val="24"/>
          <w:highlight w:val="none"/>
        </w:rPr>
      </w:pPr>
    </w:p>
    <w:p>
      <w:pPr>
        <w:spacing w:line="360" w:lineRule="auto"/>
        <w:rPr>
          <w:rFonts w:ascii="仿宋" w:hAnsi="仿宋" w:eastAsia="仿宋" w:cs="仿宋"/>
          <w:color w:val="auto"/>
          <w:sz w:val="24"/>
          <w:szCs w:val="24"/>
          <w:highlight w:val="none"/>
        </w:rPr>
      </w:pPr>
    </w:p>
    <w:p>
      <w:pPr>
        <w:spacing w:line="360" w:lineRule="auto"/>
        <w:rPr>
          <w:rFonts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四、技术标其他格式自拟</w:t>
      </w:r>
    </w:p>
    <w:p>
      <w:pPr>
        <w:spacing w:line="360" w:lineRule="auto"/>
        <w:rPr>
          <w:rFonts w:ascii="仿宋" w:hAnsi="仿宋" w:eastAsia="仿宋" w:cs="仿宋"/>
          <w:color w:val="auto"/>
          <w:sz w:val="24"/>
          <w:szCs w:val="24"/>
          <w:highlight w:val="none"/>
        </w:rPr>
      </w:pPr>
    </w:p>
    <w:p>
      <w:pPr>
        <w:snapToGrid w:val="0"/>
        <w:spacing w:line="360" w:lineRule="auto"/>
        <w:ind w:firstLine="960" w:firstLineChars="400"/>
        <w:jc w:val="center"/>
        <w:outlineLvl w:val="0"/>
        <w:rPr>
          <w:rFonts w:ascii="仿宋" w:hAnsi="仿宋" w:eastAsia="仿宋" w:cs="仿宋"/>
          <w:color w:val="auto"/>
          <w:sz w:val="28"/>
          <w:szCs w:val="28"/>
          <w:highlight w:val="none"/>
        </w:rPr>
      </w:pPr>
      <w:r>
        <w:rPr>
          <w:rFonts w:hint="eastAsia" w:ascii="仿宋" w:hAnsi="仿宋" w:eastAsia="仿宋" w:cs="仿宋"/>
          <w:color w:val="auto"/>
          <w:sz w:val="24"/>
          <w:szCs w:val="24"/>
          <w:highlight w:val="none"/>
        </w:rPr>
        <w:br w:type="page"/>
      </w:r>
      <w:r>
        <w:rPr>
          <w:rFonts w:hint="eastAsia" w:ascii="仿宋" w:hAnsi="仿宋" w:eastAsia="仿宋" w:cs="仿宋"/>
          <w:color w:val="auto"/>
          <w:sz w:val="28"/>
          <w:szCs w:val="28"/>
          <w:highlight w:val="none"/>
        </w:rPr>
        <w:t>第三部分报价标文件（单独密封）</w:t>
      </w:r>
    </w:p>
    <w:p>
      <w:pPr>
        <w:spacing w:line="360" w:lineRule="auto"/>
        <w:jc w:val="center"/>
        <w:rPr>
          <w:rFonts w:ascii="仿宋" w:hAnsi="仿宋" w:eastAsia="仿宋" w:cs="仿宋"/>
          <w:color w:val="auto"/>
          <w:sz w:val="24"/>
          <w:szCs w:val="24"/>
          <w:highlight w:val="none"/>
        </w:rPr>
      </w:pPr>
    </w:p>
    <w:p>
      <w:pPr>
        <w:spacing w:line="360" w:lineRule="auto"/>
        <w:jc w:val="center"/>
        <w:rPr>
          <w:rFonts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目录</w:t>
      </w:r>
    </w:p>
    <w:p>
      <w:pPr>
        <w:spacing w:line="360" w:lineRule="auto"/>
        <w:ind w:firstLine="840" w:firstLineChars="3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1、封面</w:t>
      </w:r>
    </w:p>
    <w:p>
      <w:pPr>
        <w:spacing w:line="360" w:lineRule="auto"/>
        <w:ind w:firstLine="840" w:firstLineChars="3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2、供应商响应文件报价表（第一次磋商报价）</w:t>
      </w:r>
    </w:p>
    <w:p>
      <w:pPr>
        <w:pStyle w:val="2"/>
        <w:ind w:firstLine="840" w:firstLineChars="350"/>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w:t>
      </w:r>
      <w:r>
        <w:rPr>
          <w:rFonts w:hint="eastAsia" w:ascii="仿宋" w:hAnsi="仿宋" w:eastAsia="仿宋" w:cs="仿宋"/>
          <w:b/>
          <w:color w:val="auto"/>
          <w:sz w:val="24"/>
          <w:szCs w:val="24"/>
          <w:highlight w:val="none"/>
        </w:rPr>
        <w:t>供应商响应报价明细表</w:t>
      </w:r>
      <w:r>
        <w:rPr>
          <w:rFonts w:hint="eastAsia" w:ascii="仿宋" w:hAnsi="仿宋" w:eastAsia="仿宋" w:cs="仿宋"/>
          <w:color w:val="auto"/>
          <w:sz w:val="24"/>
          <w:szCs w:val="24"/>
          <w:highlight w:val="none"/>
        </w:rPr>
        <w:t>（第一次磋商报价）</w:t>
      </w:r>
    </w:p>
    <w:p>
      <w:pPr>
        <w:spacing w:line="360" w:lineRule="auto"/>
        <w:ind w:firstLine="840" w:firstLineChars="3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4、供应商响应文件报价表（最终）</w:t>
      </w:r>
    </w:p>
    <w:p>
      <w:pPr>
        <w:pStyle w:val="3"/>
        <w:rPr>
          <w:rFonts w:ascii="仿宋" w:hAnsi="仿宋" w:eastAsia="仿宋" w:cs="仿宋"/>
          <w:color w:val="auto"/>
          <w:sz w:val="24"/>
          <w:szCs w:val="24"/>
          <w:highlight w:val="none"/>
        </w:rPr>
      </w:pPr>
    </w:p>
    <w:p>
      <w:pPr>
        <w:pStyle w:val="3"/>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注明：1、供应商响应文件报价表（最终），此表投标报价请空着，在开标现场填写，需提前加盖公章。</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sz w:val="24"/>
          <w:szCs w:val="24"/>
          <w:highlight w:val="none"/>
        </w:rPr>
        <w:t>2、</w:t>
      </w:r>
      <w:r>
        <w:rPr>
          <w:rFonts w:hint="eastAsia" w:ascii="仿宋" w:hAnsi="仿宋" w:eastAsia="仿宋" w:cs="仿宋"/>
          <w:b/>
          <w:bCs/>
          <w:color w:val="auto"/>
          <w:sz w:val="24"/>
          <w:szCs w:val="24"/>
          <w:highlight w:val="none"/>
          <w:u w:val="single"/>
        </w:rPr>
        <w:t>本项目专门面向中小企业，不享受价格扣除优惠政策。</w:t>
      </w:r>
    </w:p>
    <w:p>
      <w:pPr>
        <w:pStyle w:val="3"/>
        <w:ind w:firstLine="480" w:firstLineChars="200"/>
        <w:rPr>
          <w:rFonts w:ascii="仿宋" w:hAnsi="仿宋" w:eastAsia="仿宋" w:cs="仿宋"/>
          <w:color w:val="auto"/>
          <w:sz w:val="24"/>
          <w:szCs w:val="24"/>
          <w:highlight w:val="none"/>
        </w:rPr>
      </w:pP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pStyle w:val="3"/>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w:t>
      </w:r>
      <w:r>
        <w:rPr>
          <w:rFonts w:hint="eastAsia" w:ascii="仿宋" w:hAnsi="仿宋" w:eastAsia="仿宋" w:cs="仿宋"/>
          <w:b/>
          <w:bCs/>
          <w:color w:val="auto"/>
          <w:highlight w:val="none"/>
        </w:rPr>
        <w:t>供应商响应文件报价表（第一次磋商报价）</w:t>
      </w:r>
    </w:p>
    <w:p>
      <w:pPr>
        <w:spacing w:line="360" w:lineRule="auto"/>
        <w:rPr>
          <w:rFonts w:ascii="仿宋" w:hAnsi="仿宋" w:eastAsia="仿宋" w:cs="仿宋"/>
          <w:color w:val="auto"/>
          <w:sz w:val="24"/>
          <w:szCs w:val="22"/>
          <w:highlight w:val="none"/>
        </w:rPr>
      </w:pPr>
      <w:bookmarkStart w:id="134" w:name="_Toc501715523"/>
    </w:p>
    <w:p>
      <w:pPr>
        <w:spacing w:line="360" w:lineRule="auto"/>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项目名称：</w:t>
      </w:r>
    </w:p>
    <w:p>
      <w:pPr>
        <w:spacing w:line="360" w:lineRule="auto"/>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项目编号：</w:t>
      </w:r>
    </w:p>
    <w:p>
      <w:pPr>
        <w:rPr>
          <w:rFonts w:ascii="仿宋" w:hAnsi="仿宋" w:eastAsia="仿宋" w:cs="仿宋"/>
          <w:color w:val="auto"/>
          <w:sz w:val="24"/>
          <w:szCs w:val="22"/>
          <w:highlight w:val="none"/>
        </w:rPr>
      </w:pPr>
    </w:p>
    <w:tbl>
      <w:tblPr>
        <w:tblStyle w:val="22"/>
        <w:tblpPr w:leftFromText="180" w:rightFromText="180" w:vertAnchor="text" w:horzAnchor="page" w:tblpX="1468" w:tblpY="299"/>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3759"/>
        <w:gridCol w:w="2200"/>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60" w:type="dxa"/>
            <w:vAlign w:val="center"/>
          </w:tcPr>
          <w:p>
            <w:pPr>
              <w:spacing w:line="400" w:lineRule="exact"/>
              <w:jc w:val="center"/>
              <w:rPr>
                <w:rFonts w:ascii="仿宋" w:hAnsi="仿宋" w:eastAsia="仿宋" w:cs="仿宋"/>
                <w:color w:val="auto"/>
                <w:highlight w:val="none"/>
              </w:rPr>
            </w:pPr>
            <w:r>
              <w:rPr>
                <w:rFonts w:hint="eastAsia" w:ascii="仿宋" w:hAnsi="仿宋" w:eastAsia="仿宋" w:cs="仿宋"/>
                <w:color w:val="auto"/>
                <w:highlight w:val="none"/>
              </w:rPr>
              <w:t>序号</w:t>
            </w:r>
          </w:p>
        </w:tc>
        <w:tc>
          <w:tcPr>
            <w:tcW w:w="3759" w:type="dxa"/>
            <w:vAlign w:val="center"/>
          </w:tcPr>
          <w:p>
            <w:pPr>
              <w:spacing w:line="400" w:lineRule="exact"/>
              <w:jc w:val="center"/>
              <w:rPr>
                <w:rFonts w:ascii="仿宋" w:hAnsi="仿宋" w:eastAsia="仿宋" w:cs="仿宋"/>
                <w:color w:val="auto"/>
                <w:highlight w:val="none"/>
              </w:rPr>
            </w:pPr>
            <w:r>
              <w:rPr>
                <w:rFonts w:hint="eastAsia" w:ascii="仿宋" w:hAnsi="仿宋" w:eastAsia="仿宋" w:cs="仿宋"/>
                <w:color w:val="auto"/>
                <w:highlight w:val="none"/>
              </w:rPr>
              <w:t>项目名称</w:t>
            </w:r>
          </w:p>
        </w:tc>
        <w:tc>
          <w:tcPr>
            <w:tcW w:w="2200" w:type="dxa"/>
            <w:shd w:val="clear" w:color="auto" w:fill="FFFFFF"/>
            <w:vAlign w:val="center"/>
          </w:tcPr>
          <w:p>
            <w:pPr>
              <w:spacing w:line="400" w:lineRule="exact"/>
              <w:jc w:val="center"/>
              <w:rPr>
                <w:rFonts w:ascii="仿宋" w:hAnsi="仿宋" w:eastAsia="仿宋" w:cs="仿宋"/>
                <w:color w:val="auto"/>
                <w:highlight w:val="none"/>
              </w:rPr>
            </w:pPr>
            <w:r>
              <w:rPr>
                <w:rFonts w:hint="eastAsia" w:ascii="仿宋" w:hAnsi="仿宋" w:eastAsia="仿宋" w:cs="仿宋"/>
                <w:color w:val="auto"/>
                <w:highlight w:val="none"/>
              </w:rPr>
              <w:t xml:space="preserve"> 投标报价（万元）</w:t>
            </w:r>
          </w:p>
        </w:tc>
        <w:tc>
          <w:tcPr>
            <w:tcW w:w="2361" w:type="dxa"/>
            <w:shd w:val="clear" w:color="auto" w:fill="FFFFFF"/>
            <w:vAlign w:val="center"/>
          </w:tcPr>
          <w:p>
            <w:pPr>
              <w:spacing w:line="400" w:lineRule="exact"/>
              <w:jc w:val="center"/>
              <w:rPr>
                <w:rFonts w:ascii="仿宋" w:hAnsi="仿宋" w:eastAsia="仿宋" w:cs="仿宋"/>
                <w:color w:val="auto"/>
                <w:highlight w:val="none"/>
              </w:rPr>
            </w:pPr>
            <w:r>
              <w:rPr>
                <w:rFonts w:hint="eastAsia" w:ascii="仿宋" w:hAnsi="仿宋" w:eastAsia="仿宋" w:cs="仿宋"/>
                <w:color w:val="auto"/>
                <w:highlight w:val="none"/>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60" w:type="dxa"/>
            <w:vAlign w:val="center"/>
          </w:tcPr>
          <w:p>
            <w:pPr>
              <w:spacing w:line="400" w:lineRule="exact"/>
              <w:jc w:val="center"/>
              <w:rPr>
                <w:rFonts w:ascii="仿宋" w:hAnsi="仿宋" w:eastAsia="仿宋" w:cs="仿宋"/>
                <w:color w:val="auto"/>
                <w:highlight w:val="none"/>
              </w:rPr>
            </w:pPr>
            <w:r>
              <w:rPr>
                <w:rFonts w:hint="eastAsia" w:ascii="仿宋" w:hAnsi="仿宋" w:eastAsia="仿宋" w:cs="仿宋"/>
                <w:color w:val="auto"/>
                <w:highlight w:val="none"/>
              </w:rPr>
              <w:t>1</w:t>
            </w:r>
          </w:p>
        </w:tc>
        <w:tc>
          <w:tcPr>
            <w:tcW w:w="3759" w:type="dxa"/>
            <w:vAlign w:val="center"/>
          </w:tcPr>
          <w:p>
            <w:pPr>
              <w:spacing w:line="400" w:lineRule="exact"/>
              <w:jc w:val="center"/>
              <w:rPr>
                <w:rFonts w:ascii="仿宋" w:hAnsi="仿宋" w:eastAsia="仿宋" w:cs="仿宋"/>
                <w:color w:val="auto"/>
                <w:highlight w:val="none"/>
              </w:rPr>
            </w:pPr>
          </w:p>
        </w:tc>
        <w:tc>
          <w:tcPr>
            <w:tcW w:w="2200" w:type="dxa"/>
            <w:vAlign w:val="center"/>
          </w:tcPr>
          <w:p>
            <w:pPr>
              <w:spacing w:line="400" w:lineRule="exact"/>
              <w:jc w:val="center"/>
              <w:rPr>
                <w:rFonts w:ascii="仿宋" w:hAnsi="仿宋" w:eastAsia="仿宋" w:cs="仿宋"/>
                <w:color w:val="auto"/>
                <w:highlight w:val="none"/>
              </w:rPr>
            </w:pPr>
          </w:p>
        </w:tc>
        <w:tc>
          <w:tcPr>
            <w:tcW w:w="2361" w:type="dxa"/>
            <w:vAlign w:val="center"/>
          </w:tcPr>
          <w:p>
            <w:pPr>
              <w:spacing w:line="400" w:lineRule="exact"/>
              <w:jc w:val="center"/>
              <w:rPr>
                <w:rFonts w:ascii="仿宋" w:hAnsi="仿宋" w:eastAsia="仿宋" w:cs="仿宋"/>
                <w:color w:val="auto"/>
                <w:highlight w:val="none"/>
              </w:rPr>
            </w:pPr>
            <w:r>
              <w:rPr>
                <w:rFonts w:hint="eastAsia" w:ascii="仿宋" w:hAnsi="仿宋" w:eastAsia="仿宋" w:cs="仿宋"/>
                <w:color w:val="auto"/>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4619" w:type="dxa"/>
            <w:gridSpan w:val="2"/>
            <w:vAlign w:val="center"/>
          </w:tcPr>
          <w:p>
            <w:pPr>
              <w:ind w:firstLine="630" w:firstLineChars="300"/>
              <w:rPr>
                <w:rFonts w:ascii="仿宋" w:hAnsi="仿宋" w:eastAsia="仿宋" w:cs="仿宋"/>
                <w:color w:val="auto"/>
                <w:highlight w:val="none"/>
              </w:rPr>
            </w:pPr>
            <w:r>
              <w:rPr>
                <w:rFonts w:hint="eastAsia" w:ascii="仿宋" w:hAnsi="仿宋" w:eastAsia="仿宋" w:cs="仿宋"/>
                <w:color w:val="auto"/>
                <w:highlight w:val="none"/>
              </w:rPr>
              <w:t>备  注</w:t>
            </w:r>
          </w:p>
        </w:tc>
        <w:tc>
          <w:tcPr>
            <w:tcW w:w="4561" w:type="dxa"/>
            <w:gridSpan w:val="2"/>
            <w:vAlign w:val="center"/>
          </w:tcPr>
          <w:p>
            <w:pPr>
              <w:rPr>
                <w:rFonts w:ascii="仿宋" w:hAnsi="仿宋" w:eastAsia="仿宋" w:cs="仿宋"/>
                <w:color w:val="auto"/>
                <w:highlight w:val="none"/>
              </w:rPr>
            </w:pPr>
          </w:p>
        </w:tc>
      </w:tr>
    </w:tbl>
    <w:p>
      <w:pPr>
        <w:spacing w:line="360" w:lineRule="auto"/>
        <w:rPr>
          <w:rFonts w:ascii="仿宋" w:hAnsi="仿宋" w:eastAsia="仿宋" w:cs="仿宋"/>
          <w:color w:val="auto"/>
          <w:sz w:val="24"/>
          <w:szCs w:val="22"/>
          <w:highlight w:val="none"/>
        </w:rPr>
      </w:pPr>
    </w:p>
    <w:p>
      <w:pPr>
        <w:spacing w:line="360" w:lineRule="auto"/>
        <w:rPr>
          <w:rFonts w:ascii="仿宋" w:hAnsi="仿宋" w:eastAsia="仿宋" w:cs="仿宋"/>
          <w:color w:val="auto"/>
          <w:sz w:val="24"/>
          <w:szCs w:val="22"/>
          <w:highlight w:val="none"/>
        </w:rPr>
      </w:pPr>
    </w:p>
    <w:p>
      <w:pPr>
        <w:spacing w:line="360" w:lineRule="auto"/>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 xml:space="preserve">法定代表人或者授权代表（签字或盖章）：                    </w:t>
      </w:r>
    </w:p>
    <w:p>
      <w:pPr>
        <w:spacing w:line="360" w:lineRule="auto"/>
        <w:rPr>
          <w:rFonts w:ascii="仿宋" w:hAnsi="仿宋" w:eastAsia="仿宋" w:cs="仿宋"/>
          <w:color w:val="auto"/>
          <w:sz w:val="24"/>
          <w:szCs w:val="22"/>
          <w:highlight w:val="none"/>
          <w:u w:val="single"/>
        </w:rPr>
      </w:pPr>
      <w:r>
        <w:rPr>
          <w:rFonts w:hint="eastAsia" w:ascii="仿宋" w:hAnsi="仿宋" w:eastAsia="仿宋" w:cs="仿宋"/>
          <w:color w:val="auto"/>
          <w:sz w:val="24"/>
          <w:szCs w:val="22"/>
          <w:highlight w:val="none"/>
        </w:rPr>
        <w:t>磋商供应商全称（盖章）：</w:t>
      </w:r>
    </w:p>
    <w:p>
      <w:pPr>
        <w:spacing w:line="360" w:lineRule="auto"/>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 xml:space="preserve">                                               日期：    年   月    日</w:t>
      </w:r>
    </w:p>
    <w:p>
      <w:pPr>
        <w:spacing w:line="360" w:lineRule="auto"/>
        <w:rPr>
          <w:rFonts w:ascii="仿宋" w:hAnsi="仿宋" w:eastAsia="仿宋" w:cs="仿宋"/>
          <w:b/>
          <w:color w:val="auto"/>
          <w:sz w:val="24"/>
          <w:szCs w:val="22"/>
          <w:highlight w:val="none"/>
        </w:rPr>
      </w:pPr>
      <w:r>
        <w:rPr>
          <w:rFonts w:hint="eastAsia" w:ascii="仿宋" w:hAnsi="仿宋" w:eastAsia="仿宋" w:cs="仿宋"/>
          <w:b/>
          <w:color w:val="auto"/>
          <w:sz w:val="24"/>
          <w:szCs w:val="22"/>
          <w:highlight w:val="none"/>
        </w:rPr>
        <w:t>价格构成或报价要求：</w:t>
      </w:r>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1、此表可以根据需要自行增减行数，且该表报价非本次磋商中的最后报价。</w:t>
      </w:r>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2、项目如有分包，请各磋商供应商按投报的分包分别列表。</w:t>
      </w:r>
    </w:p>
    <w:p>
      <w:pPr>
        <w:pStyle w:val="3"/>
        <w:spacing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b/>
          <w:bCs/>
          <w:color w:val="auto"/>
          <w:sz w:val="24"/>
          <w:szCs w:val="24"/>
          <w:highlight w:val="none"/>
        </w:rPr>
        <w:t>响应单位的报价（人民币）按单项报价，报价（以人民币计价）</w:t>
      </w:r>
      <w:r>
        <w:rPr>
          <w:rFonts w:hint="eastAsia" w:ascii="仿宋" w:hAnsi="仿宋" w:eastAsia="仿宋" w:cs="仿宋"/>
          <w:color w:val="auto"/>
          <w:sz w:val="24"/>
          <w:szCs w:val="24"/>
          <w:highlight w:val="none"/>
        </w:rPr>
        <w:t>应包括完成本次招标范围内全部工作内容所需所有费用。其中应包括但不限于</w:t>
      </w:r>
      <w:r>
        <w:rPr>
          <w:rFonts w:hint="eastAsia" w:ascii="仿宋" w:hAnsi="仿宋" w:eastAsia="仿宋" w:cs="仿宋"/>
          <w:bCs/>
          <w:color w:val="auto"/>
          <w:sz w:val="24"/>
          <w:szCs w:val="24"/>
          <w:highlight w:val="none"/>
        </w:rPr>
        <w:t>勘测费、调查费、劳务费、咨询费、会务费、出版费、管理费、方案编制费、资料收集、专家论证、成果验收、利润、税金、保险等与此有关的一切费用。供应商中标后应根据国家、省、市、工程所在地政府及相关部门的规定缴纳有关费用</w:t>
      </w:r>
      <w:r>
        <w:rPr>
          <w:rFonts w:hint="eastAsia" w:ascii="仿宋" w:hAnsi="仿宋" w:eastAsia="仿宋" w:cs="仿宋"/>
          <w:color w:val="auto"/>
          <w:sz w:val="24"/>
          <w:szCs w:val="24"/>
          <w:highlight w:val="none"/>
        </w:rPr>
        <w:t>。即招标物服务周期结束前的所有费用且包含响应磋商文件采购要求的所有费用。</w:t>
      </w:r>
    </w:p>
    <w:p>
      <w:pPr>
        <w:pStyle w:val="61"/>
        <w:spacing w:line="360" w:lineRule="auto"/>
        <w:ind w:firstLine="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4、报价小数点精确到后两位。</w:t>
      </w:r>
    </w:p>
    <w:p>
      <w:pPr>
        <w:rPr>
          <w:rFonts w:ascii="仿宋" w:hAnsi="仿宋" w:eastAsia="仿宋" w:cs="仿宋"/>
          <w:color w:val="auto"/>
          <w:highlight w:val="none"/>
        </w:rPr>
      </w:pPr>
    </w:p>
    <w:p>
      <w:pPr>
        <w:spacing w:line="360" w:lineRule="auto"/>
        <w:rPr>
          <w:rFonts w:ascii="仿宋" w:hAnsi="仿宋" w:eastAsia="仿宋" w:cs="仿宋"/>
          <w:color w:val="auto"/>
          <w:sz w:val="24"/>
          <w:szCs w:val="24"/>
          <w:highlight w:val="none"/>
        </w:rPr>
      </w:pPr>
    </w:p>
    <w:p>
      <w:pPr>
        <w:pStyle w:val="2"/>
        <w:ind w:firstLine="482"/>
        <w:rPr>
          <w:rFonts w:ascii="仿宋" w:hAnsi="仿宋" w:eastAsia="仿宋" w:cs="仿宋"/>
          <w:b/>
          <w:bCs/>
          <w:color w:val="auto"/>
          <w:sz w:val="24"/>
          <w:szCs w:val="22"/>
          <w:highlight w:val="none"/>
        </w:rPr>
      </w:pPr>
    </w:p>
    <w:p>
      <w:pPr>
        <w:pStyle w:val="3"/>
        <w:jc w:val="center"/>
        <w:rPr>
          <w:rFonts w:ascii="仿宋" w:hAnsi="仿宋" w:eastAsia="仿宋" w:cs="仿宋"/>
          <w:b/>
          <w:color w:val="auto"/>
          <w:sz w:val="24"/>
          <w:szCs w:val="24"/>
          <w:highlight w:val="none"/>
        </w:rPr>
      </w:pPr>
    </w:p>
    <w:p>
      <w:pPr>
        <w:pStyle w:val="3"/>
        <w:jc w:val="center"/>
        <w:rPr>
          <w:rFonts w:ascii="仿宋" w:hAnsi="仿宋" w:eastAsia="仿宋" w:cs="仿宋"/>
          <w:b/>
          <w:color w:val="auto"/>
          <w:sz w:val="24"/>
          <w:szCs w:val="24"/>
          <w:highlight w:val="none"/>
        </w:rPr>
      </w:pPr>
    </w:p>
    <w:p>
      <w:pPr>
        <w:pStyle w:val="3"/>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二、供应商响应报价明细表(第一次磋商报价)</w:t>
      </w:r>
    </w:p>
    <w:p>
      <w:pPr>
        <w:spacing w:line="360" w:lineRule="auto"/>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项目名称：</w:t>
      </w:r>
    </w:p>
    <w:p>
      <w:pPr>
        <w:spacing w:line="360" w:lineRule="auto"/>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项目编号：</w:t>
      </w:r>
    </w:p>
    <w:tbl>
      <w:tblPr>
        <w:tblStyle w:val="22"/>
        <w:tblpPr w:leftFromText="180" w:rightFromText="180" w:vertAnchor="text" w:horzAnchor="page" w:tblpX="1468" w:tblpY="299"/>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3759"/>
        <w:gridCol w:w="2200"/>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60" w:type="dxa"/>
            <w:vAlign w:val="center"/>
          </w:tcPr>
          <w:p>
            <w:pPr>
              <w:spacing w:line="400" w:lineRule="exact"/>
              <w:jc w:val="center"/>
              <w:rPr>
                <w:rFonts w:ascii="仿宋" w:hAnsi="仿宋" w:eastAsia="仿宋" w:cs="仿宋"/>
                <w:color w:val="auto"/>
                <w:highlight w:val="none"/>
              </w:rPr>
            </w:pPr>
            <w:r>
              <w:rPr>
                <w:rFonts w:hint="eastAsia" w:ascii="仿宋" w:hAnsi="仿宋" w:eastAsia="仿宋" w:cs="仿宋"/>
                <w:color w:val="auto"/>
                <w:highlight w:val="none"/>
              </w:rPr>
              <w:t>序号</w:t>
            </w:r>
          </w:p>
        </w:tc>
        <w:tc>
          <w:tcPr>
            <w:tcW w:w="3759" w:type="dxa"/>
            <w:vAlign w:val="center"/>
          </w:tcPr>
          <w:p>
            <w:pPr>
              <w:spacing w:line="400" w:lineRule="exact"/>
              <w:jc w:val="center"/>
              <w:rPr>
                <w:rFonts w:ascii="仿宋" w:hAnsi="仿宋" w:eastAsia="仿宋" w:cs="仿宋"/>
                <w:color w:val="auto"/>
                <w:highlight w:val="none"/>
              </w:rPr>
            </w:pPr>
            <w:r>
              <w:rPr>
                <w:rFonts w:hint="eastAsia" w:ascii="仿宋" w:hAnsi="仿宋" w:eastAsia="仿宋" w:cs="仿宋"/>
                <w:color w:val="auto"/>
                <w:highlight w:val="none"/>
              </w:rPr>
              <w:t>分项名称</w:t>
            </w:r>
          </w:p>
        </w:tc>
        <w:tc>
          <w:tcPr>
            <w:tcW w:w="2200" w:type="dxa"/>
            <w:shd w:val="clear" w:color="auto" w:fill="FFFFFF"/>
            <w:vAlign w:val="center"/>
          </w:tcPr>
          <w:p>
            <w:pPr>
              <w:spacing w:line="400" w:lineRule="exact"/>
              <w:jc w:val="center"/>
              <w:rPr>
                <w:rFonts w:ascii="仿宋" w:hAnsi="仿宋" w:eastAsia="仿宋" w:cs="仿宋"/>
                <w:color w:val="auto"/>
                <w:highlight w:val="none"/>
              </w:rPr>
            </w:pPr>
            <w:r>
              <w:rPr>
                <w:rFonts w:hint="eastAsia" w:ascii="仿宋" w:hAnsi="仿宋" w:eastAsia="仿宋" w:cs="仿宋"/>
                <w:color w:val="auto"/>
                <w:highlight w:val="none"/>
              </w:rPr>
              <w:t xml:space="preserve"> 投标报价（万元）</w:t>
            </w:r>
          </w:p>
        </w:tc>
        <w:tc>
          <w:tcPr>
            <w:tcW w:w="2361" w:type="dxa"/>
            <w:shd w:val="clear" w:color="auto" w:fill="FFFFFF"/>
            <w:vAlign w:val="center"/>
          </w:tcPr>
          <w:p>
            <w:pPr>
              <w:spacing w:line="400" w:lineRule="exact"/>
              <w:jc w:val="center"/>
              <w:rPr>
                <w:rFonts w:ascii="仿宋" w:hAnsi="仿宋" w:eastAsia="仿宋" w:cs="仿宋"/>
                <w:color w:val="auto"/>
                <w:highlight w:val="none"/>
              </w:rPr>
            </w:pPr>
            <w:r>
              <w:rPr>
                <w:rFonts w:hint="eastAsia" w:ascii="仿宋" w:hAnsi="仿宋" w:eastAsia="仿宋" w:cs="仿宋"/>
                <w:color w:val="auto"/>
                <w:highlight w:val="none"/>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60" w:type="dxa"/>
            <w:vAlign w:val="center"/>
          </w:tcPr>
          <w:p>
            <w:pPr>
              <w:spacing w:line="400" w:lineRule="exact"/>
              <w:jc w:val="center"/>
              <w:rPr>
                <w:rFonts w:ascii="仿宋" w:hAnsi="仿宋" w:eastAsia="仿宋" w:cs="仿宋"/>
                <w:color w:val="auto"/>
                <w:highlight w:val="none"/>
              </w:rPr>
            </w:pPr>
            <w:r>
              <w:rPr>
                <w:rFonts w:hint="eastAsia" w:ascii="仿宋" w:hAnsi="仿宋" w:eastAsia="仿宋" w:cs="仿宋"/>
                <w:color w:val="auto"/>
                <w:highlight w:val="none"/>
              </w:rPr>
              <w:t>1</w:t>
            </w:r>
          </w:p>
        </w:tc>
        <w:tc>
          <w:tcPr>
            <w:tcW w:w="3759" w:type="dxa"/>
            <w:vAlign w:val="center"/>
          </w:tcPr>
          <w:p>
            <w:pPr>
              <w:spacing w:line="360" w:lineRule="auto"/>
              <w:jc w:val="left"/>
              <w:rPr>
                <w:rFonts w:ascii="仿宋" w:hAnsi="仿宋" w:eastAsia="仿宋" w:cs="仿宋"/>
                <w:color w:val="auto"/>
                <w:highlight w:val="none"/>
              </w:rPr>
            </w:pPr>
            <w:r>
              <w:rPr>
                <w:rFonts w:hint="eastAsia" w:ascii="仿宋" w:hAnsi="仿宋" w:eastAsia="仿宋" w:cs="仿宋"/>
                <w:color w:val="auto"/>
                <w:sz w:val="24"/>
                <w:szCs w:val="24"/>
                <w:highlight w:val="none"/>
              </w:rPr>
              <w:t>十四五时期低效用地再开发专项规划方案编制费用</w:t>
            </w:r>
          </w:p>
        </w:tc>
        <w:tc>
          <w:tcPr>
            <w:tcW w:w="2200" w:type="dxa"/>
            <w:vAlign w:val="center"/>
          </w:tcPr>
          <w:p>
            <w:pPr>
              <w:spacing w:line="400" w:lineRule="exact"/>
              <w:jc w:val="center"/>
              <w:rPr>
                <w:rFonts w:ascii="仿宋" w:hAnsi="仿宋" w:eastAsia="仿宋" w:cs="仿宋"/>
                <w:color w:val="auto"/>
                <w:highlight w:val="none"/>
              </w:rPr>
            </w:pPr>
          </w:p>
        </w:tc>
        <w:tc>
          <w:tcPr>
            <w:tcW w:w="2361" w:type="dxa"/>
            <w:vAlign w:val="center"/>
          </w:tcPr>
          <w:p>
            <w:pPr>
              <w:spacing w:line="400" w:lineRule="exact"/>
              <w:jc w:val="center"/>
              <w:rPr>
                <w:rFonts w:ascii="仿宋" w:hAnsi="仿宋" w:eastAsia="仿宋" w:cs="仿宋"/>
                <w:color w:val="auto"/>
                <w:highlight w:val="none"/>
              </w:rPr>
            </w:pPr>
            <w:r>
              <w:rPr>
                <w:rFonts w:hint="eastAsia" w:ascii="仿宋" w:hAnsi="仿宋" w:eastAsia="仿宋" w:cs="仿宋"/>
                <w:color w:val="auto"/>
                <w:highlight w:val="none"/>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60" w:type="dxa"/>
            <w:vAlign w:val="center"/>
          </w:tcPr>
          <w:p>
            <w:pPr>
              <w:spacing w:line="400" w:lineRule="exact"/>
              <w:jc w:val="center"/>
              <w:rPr>
                <w:rFonts w:ascii="仿宋" w:hAnsi="仿宋" w:eastAsia="仿宋" w:cs="仿宋"/>
                <w:color w:val="auto"/>
                <w:highlight w:val="none"/>
              </w:rPr>
            </w:pPr>
            <w:r>
              <w:rPr>
                <w:rFonts w:hint="eastAsia" w:ascii="仿宋" w:hAnsi="仿宋" w:eastAsia="仿宋" w:cs="仿宋"/>
                <w:color w:val="auto"/>
                <w:highlight w:val="none"/>
              </w:rPr>
              <w:t>2</w:t>
            </w:r>
          </w:p>
        </w:tc>
        <w:tc>
          <w:tcPr>
            <w:tcW w:w="3759" w:type="dxa"/>
            <w:vAlign w:val="center"/>
          </w:tcPr>
          <w:p>
            <w:pPr>
              <w:spacing w:line="400" w:lineRule="exact"/>
              <w:rPr>
                <w:rFonts w:ascii="仿宋" w:hAnsi="仿宋" w:eastAsia="仿宋" w:cs="仿宋"/>
                <w:color w:val="auto"/>
                <w:highlight w:val="none"/>
              </w:rPr>
            </w:pPr>
            <w:r>
              <w:rPr>
                <w:rFonts w:hint="eastAsia" w:ascii="仿宋" w:hAnsi="仿宋" w:eastAsia="仿宋" w:cs="仿宋"/>
                <w:color w:val="auto"/>
                <w:sz w:val="24"/>
                <w:szCs w:val="24"/>
                <w:highlight w:val="none"/>
              </w:rPr>
              <w:t>每年度实施计划的编制费用</w:t>
            </w:r>
          </w:p>
        </w:tc>
        <w:tc>
          <w:tcPr>
            <w:tcW w:w="2200" w:type="dxa"/>
            <w:vAlign w:val="center"/>
          </w:tcPr>
          <w:p>
            <w:pPr>
              <w:spacing w:line="400" w:lineRule="exact"/>
              <w:jc w:val="center"/>
              <w:rPr>
                <w:rFonts w:ascii="仿宋" w:hAnsi="仿宋" w:eastAsia="仿宋" w:cs="仿宋"/>
                <w:color w:val="auto"/>
                <w:highlight w:val="none"/>
              </w:rPr>
            </w:pPr>
          </w:p>
        </w:tc>
        <w:tc>
          <w:tcPr>
            <w:tcW w:w="2361" w:type="dxa"/>
            <w:vAlign w:val="center"/>
          </w:tcPr>
          <w:p>
            <w:pPr>
              <w:spacing w:line="400" w:lineRule="exact"/>
              <w:jc w:val="center"/>
              <w:rPr>
                <w:rFonts w:ascii="仿宋" w:hAnsi="仿宋" w:eastAsia="仿宋" w:cs="仿宋"/>
                <w:color w:val="auto"/>
                <w:highlight w:val="none"/>
              </w:rPr>
            </w:pPr>
            <w:r>
              <w:rPr>
                <w:rFonts w:hint="eastAsia" w:ascii="仿宋" w:hAnsi="仿宋" w:eastAsia="仿宋" w:cs="仿宋"/>
                <w:color w:val="auto"/>
                <w:highlight w:val="none"/>
              </w:rPr>
              <w:t>3万元/年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4619" w:type="dxa"/>
            <w:gridSpan w:val="2"/>
            <w:vAlign w:val="center"/>
          </w:tcPr>
          <w:p>
            <w:pPr>
              <w:ind w:firstLine="630" w:firstLineChars="300"/>
              <w:rPr>
                <w:rFonts w:ascii="仿宋" w:hAnsi="仿宋" w:eastAsia="仿宋" w:cs="仿宋"/>
                <w:color w:val="auto"/>
                <w:highlight w:val="none"/>
              </w:rPr>
            </w:pPr>
            <w:r>
              <w:rPr>
                <w:rFonts w:hint="eastAsia" w:ascii="仿宋" w:hAnsi="仿宋" w:eastAsia="仿宋" w:cs="仿宋"/>
                <w:color w:val="auto"/>
                <w:highlight w:val="none"/>
              </w:rPr>
              <w:t>备  注</w:t>
            </w:r>
          </w:p>
        </w:tc>
        <w:tc>
          <w:tcPr>
            <w:tcW w:w="4561" w:type="dxa"/>
            <w:gridSpan w:val="2"/>
            <w:vAlign w:val="center"/>
          </w:tcPr>
          <w:p>
            <w:pPr>
              <w:rPr>
                <w:rFonts w:ascii="仿宋" w:hAnsi="仿宋" w:eastAsia="仿宋" w:cs="仿宋"/>
                <w:color w:val="auto"/>
                <w:highlight w:val="none"/>
              </w:rPr>
            </w:pPr>
            <w:r>
              <w:rPr>
                <w:rFonts w:hint="eastAsia" w:ascii="仿宋" w:hAnsi="仿宋" w:eastAsia="仿宋" w:cs="仿宋"/>
                <w:color w:val="auto"/>
                <w:kern w:val="0"/>
                <w:sz w:val="24"/>
                <w:szCs w:val="24"/>
                <w:highlight w:val="none"/>
              </w:rPr>
              <w:t>各分项的</w:t>
            </w:r>
            <w:r>
              <w:rPr>
                <w:rFonts w:hint="eastAsia" w:ascii="仿宋" w:hAnsi="仿宋" w:eastAsia="仿宋" w:cs="仿宋"/>
                <w:color w:val="auto"/>
                <w:kern w:val="0"/>
                <w:sz w:val="23"/>
                <w:szCs w:val="23"/>
                <w:highlight w:val="none"/>
              </w:rPr>
              <w:t>报价超过最高限价的均为无效报价，按照无效响应处理。</w:t>
            </w:r>
          </w:p>
        </w:tc>
      </w:tr>
    </w:tbl>
    <w:p>
      <w:pPr>
        <w:spacing w:line="360" w:lineRule="auto"/>
        <w:rPr>
          <w:rFonts w:ascii="仿宋" w:hAnsi="仿宋" w:eastAsia="仿宋" w:cs="仿宋"/>
          <w:color w:val="auto"/>
          <w:sz w:val="24"/>
          <w:szCs w:val="22"/>
          <w:highlight w:val="none"/>
        </w:rPr>
      </w:pPr>
    </w:p>
    <w:p>
      <w:pPr>
        <w:spacing w:line="360" w:lineRule="auto"/>
        <w:rPr>
          <w:rFonts w:ascii="仿宋" w:hAnsi="仿宋" w:eastAsia="仿宋" w:cs="仿宋"/>
          <w:color w:val="auto"/>
          <w:sz w:val="24"/>
          <w:szCs w:val="22"/>
          <w:highlight w:val="none"/>
        </w:rPr>
      </w:pPr>
    </w:p>
    <w:p>
      <w:pPr>
        <w:spacing w:line="360" w:lineRule="auto"/>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 xml:space="preserve">法定代表人或者授权代表（签字或盖章）：                    </w:t>
      </w:r>
    </w:p>
    <w:p>
      <w:pPr>
        <w:spacing w:line="360" w:lineRule="auto"/>
        <w:rPr>
          <w:rFonts w:ascii="仿宋" w:hAnsi="仿宋" w:eastAsia="仿宋" w:cs="仿宋"/>
          <w:color w:val="auto"/>
          <w:sz w:val="24"/>
          <w:szCs w:val="22"/>
          <w:highlight w:val="none"/>
          <w:u w:val="single"/>
        </w:rPr>
      </w:pPr>
      <w:r>
        <w:rPr>
          <w:rFonts w:hint="eastAsia" w:ascii="仿宋" w:hAnsi="仿宋" w:eastAsia="仿宋" w:cs="仿宋"/>
          <w:color w:val="auto"/>
          <w:sz w:val="24"/>
          <w:szCs w:val="22"/>
          <w:highlight w:val="none"/>
        </w:rPr>
        <w:t>磋商供应商全称（盖章）：</w:t>
      </w:r>
    </w:p>
    <w:p>
      <w:pPr>
        <w:spacing w:line="360" w:lineRule="auto"/>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 xml:space="preserve">                                             日期：    年   月    日</w:t>
      </w:r>
    </w:p>
    <w:p>
      <w:pPr>
        <w:pStyle w:val="61"/>
        <w:ind w:firstLine="0"/>
        <w:rPr>
          <w:rFonts w:ascii="仿宋" w:hAnsi="仿宋" w:eastAsia="仿宋" w:cs="仿宋"/>
          <w:color w:val="auto"/>
          <w:highlight w:val="none"/>
        </w:rPr>
      </w:pPr>
    </w:p>
    <w:bookmarkEnd w:id="134"/>
    <w:p>
      <w:pPr>
        <w:pStyle w:val="2"/>
        <w:ind w:firstLine="600"/>
        <w:rPr>
          <w:rFonts w:ascii="仿宋" w:hAnsi="仿宋" w:eastAsia="仿宋" w:cs="仿宋"/>
          <w:color w:val="auto"/>
          <w:highlight w:val="none"/>
        </w:rPr>
        <w:sectPr>
          <w:headerReference r:id="rId3" w:type="default"/>
          <w:footerReference r:id="rId4" w:type="default"/>
          <w:pgSz w:w="11906" w:h="16838"/>
          <w:pgMar w:top="1440" w:right="1797" w:bottom="1440" w:left="1797" w:header="851" w:footer="992" w:gutter="0"/>
          <w:pgNumType w:fmt="decimal"/>
          <w:cols w:space="425" w:num="1"/>
          <w:docGrid w:type="linesAndChars" w:linePitch="312" w:charSpace="0"/>
        </w:sectPr>
      </w:pPr>
    </w:p>
    <w:p>
      <w:pPr>
        <w:snapToGrid w:val="0"/>
        <w:spacing w:line="420" w:lineRule="exact"/>
        <w:ind w:firstLine="1383" w:firstLineChars="492"/>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三、供应商响应文件报价表（最终）</w:t>
      </w:r>
    </w:p>
    <w:p>
      <w:pPr>
        <w:spacing w:line="360" w:lineRule="auto"/>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项目名称：</w:t>
      </w:r>
    </w:p>
    <w:p>
      <w:pPr>
        <w:spacing w:line="360" w:lineRule="auto"/>
        <w:rPr>
          <w:rFonts w:ascii="仿宋" w:hAnsi="仿宋" w:eastAsia="仿宋" w:cs="仿宋"/>
          <w:color w:val="auto"/>
          <w:highlight w:val="none"/>
        </w:rPr>
      </w:pPr>
      <w:r>
        <w:rPr>
          <w:rFonts w:hint="eastAsia" w:ascii="仿宋" w:hAnsi="仿宋" w:eastAsia="仿宋" w:cs="仿宋"/>
          <w:color w:val="auto"/>
          <w:sz w:val="24"/>
          <w:szCs w:val="22"/>
          <w:highlight w:val="none"/>
        </w:rPr>
        <w:t>项目编号：</w:t>
      </w:r>
    </w:p>
    <w:tbl>
      <w:tblPr>
        <w:tblStyle w:val="22"/>
        <w:tblpPr w:leftFromText="180" w:rightFromText="180" w:vertAnchor="text" w:horzAnchor="page" w:tblpX="1468" w:tblpY="299"/>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3759"/>
        <w:gridCol w:w="2220"/>
        <w:gridCol w:w="2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60" w:type="dxa"/>
            <w:vAlign w:val="center"/>
          </w:tcPr>
          <w:p>
            <w:pPr>
              <w:spacing w:line="400" w:lineRule="exact"/>
              <w:jc w:val="center"/>
              <w:rPr>
                <w:rFonts w:ascii="仿宋" w:hAnsi="仿宋" w:eastAsia="仿宋" w:cs="仿宋"/>
                <w:color w:val="auto"/>
                <w:highlight w:val="none"/>
              </w:rPr>
            </w:pPr>
            <w:r>
              <w:rPr>
                <w:rFonts w:hint="eastAsia" w:ascii="仿宋" w:hAnsi="仿宋" w:eastAsia="仿宋" w:cs="仿宋"/>
                <w:color w:val="auto"/>
                <w:highlight w:val="none"/>
              </w:rPr>
              <w:t>序号</w:t>
            </w:r>
          </w:p>
        </w:tc>
        <w:tc>
          <w:tcPr>
            <w:tcW w:w="3759" w:type="dxa"/>
            <w:vAlign w:val="center"/>
          </w:tcPr>
          <w:p>
            <w:pPr>
              <w:spacing w:line="400" w:lineRule="exact"/>
              <w:jc w:val="center"/>
              <w:rPr>
                <w:rFonts w:ascii="仿宋" w:hAnsi="仿宋" w:eastAsia="仿宋" w:cs="仿宋"/>
                <w:color w:val="auto"/>
                <w:highlight w:val="none"/>
              </w:rPr>
            </w:pPr>
            <w:r>
              <w:rPr>
                <w:rFonts w:hint="eastAsia" w:ascii="仿宋" w:hAnsi="仿宋" w:eastAsia="仿宋" w:cs="仿宋"/>
                <w:color w:val="auto"/>
                <w:highlight w:val="none"/>
              </w:rPr>
              <w:t>项目名称</w:t>
            </w:r>
          </w:p>
        </w:tc>
        <w:tc>
          <w:tcPr>
            <w:tcW w:w="2220" w:type="dxa"/>
            <w:shd w:val="clear" w:color="auto" w:fill="FFFFFF"/>
            <w:vAlign w:val="center"/>
          </w:tcPr>
          <w:p>
            <w:pPr>
              <w:spacing w:line="400" w:lineRule="exact"/>
              <w:jc w:val="center"/>
              <w:rPr>
                <w:rFonts w:ascii="仿宋" w:hAnsi="仿宋" w:eastAsia="仿宋" w:cs="仿宋"/>
                <w:color w:val="auto"/>
                <w:highlight w:val="none"/>
              </w:rPr>
            </w:pPr>
            <w:r>
              <w:rPr>
                <w:rFonts w:hint="eastAsia" w:ascii="仿宋" w:hAnsi="仿宋" w:eastAsia="仿宋" w:cs="仿宋"/>
                <w:color w:val="auto"/>
                <w:highlight w:val="none"/>
              </w:rPr>
              <w:t xml:space="preserve"> 投标报价（万元）</w:t>
            </w:r>
          </w:p>
        </w:tc>
        <w:tc>
          <w:tcPr>
            <w:tcW w:w="2341" w:type="dxa"/>
            <w:shd w:val="clear" w:color="auto" w:fill="FFFFFF"/>
            <w:vAlign w:val="center"/>
          </w:tcPr>
          <w:p>
            <w:pPr>
              <w:spacing w:line="400" w:lineRule="exact"/>
              <w:jc w:val="center"/>
              <w:rPr>
                <w:rFonts w:ascii="仿宋" w:hAnsi="仿宋" w:eastAsia="仿宋" w:cs="仿宋"/>
                <w:color w:val="auto"/>
                <w:highlight w:val="none"/>
              </w:rPr>
            </w:pPr>
            <w:r>
              <w:rPr>
                <w:rFonts w:hint="eastAsia" w:ascii="仿宋" w:hAnsi="仿宋" w:eastAsia="仿宋" w:cs="仿宋"/>
                <w:color w:val="auto"/>
                <w:highlight w:val="none"/>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60" w:type="dxa"/>
            <w:vAlign w:val="center"/>
          </w:tcPr>
          <w:p>
            <w:pPr>
              <w:spacing w:line="400" w:lineRule="exact"/>
              <w:jc w:val="center"/>
              <w:rPr>
                <w:rFonts w:ascii="仿宋" w:hAnsi="仿宋" w:eastAsia="仿宋" w:cs="仿宋"/>
                <w:color w:val="auto"/>
                <w:highlight w:val="none"/>
              </w:rPr>
            </w:pPr>
            <w:r>
              <w:rPr>
                <w:rFonts w:hint="eastAsia" w:ascii="仿宋" w:hAnsi="仿宋" w:eastAsia="仿宋" w:cs="仿宋"/>
                <w:color w:val="auto"/>
                <w:highlight w:val="none"/>
              </w:rPr>
              <w:t>1</w:t>
            </w:r>
          </w:p>
        </w:tc>
        <w:tc>
          <w:tcPr>
            <w:tcW w:w="3759" w:type="dxa"/>
            <w:vAlign w:val="center"/>
          </w:tcPr>
          <w:p>
            <w:pPr>
              <w:spacing w:line="400" w:lineRule="exact"/>
              <w:jc w:val="center"/>
              <w:rPr>
                <w:rFonts w:ascii="仿宋" w:hAnsi="仿宋" w:eastAsia="仿宋" w:cs="仿宋"/>
                <w:color w:val="auto"/>
                <w:highlight w:val="none"/>
              </w:rPr>
            </w:pPr>
          </w:p>
        </w:tc>
        <w:tc>
          <w:tcPr>
            <w:tcW w:w="2220" w:type="dxa"/>
            <w:vAlign w:val="center"/>
          </w:tcPr>
          <w:p>
            <w:pPr>
              <w:spacing w:line="400" w:lineRule="exact"/>
              <w:jc w:val="center"/>
              <w:rPr>
                <w:rFonts w:ascii="仿宋" w:hAnsi="仿宋" w:eastAsia="仿宋" w:cs="仿宋"/>
                <w:color w:val="auto"/>
                <w:highlight w:val="none"/>
              </w:rPr>
            </w:pPr>
          </w:p>
        </w:tc>
        <w:tc>
          <w:tcPr>
            <w:tcW w:w="2341" w:type="dxa"/>
            <w:vAlign w:val="center"/>
          </w:tcPr>
          <w:p>
            <w:pPr>
              <w:spacing w:line="400" w:lineRule="exact"/>
              <w:jc w:val="center"/>
              <w:rPr>
                <w:rFonts w:ascii="仿宋" w:hAnsi="仿宋" w:eastAsia="仿宋" w:cs="仿宋"/>
                <w:color w:val="auto"/>
                <w:highlight w:val="none"/>
              </w:rPr>
            </w:pPr>
            <w:r>
              <w:rPr>
                <w:rFonts w:hint="eastAsia" w:ascii="仿宋" w:hAnsi="仿宋" w:eastAsia="仿宋" w:cs="仿宋"/>
                <w:color w:val="auto"/>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4619" w:type="dxa"/>
            <w:gridSpan w:val="2"/>
            <w:vAlign w:val="center"/>
          </w:tcPr>
          <w:p>
            <w:pPr>
              <w:ind w:firstLine="630" w:firstLineChars="300"/>
              <w:rPr>
                <w:rFonts w:ascii="仿宋" w:hAnsi="仿宋" w:eastAsia="仿宋" w:cs="仿宋"/>
                <w:color w:val="auto"/>
                <w:highlight w:val="none"/>
              </w:rPr>
            </w:pPr>
            <w:r>
              <w:rPr>
                <w:rFonts w:hint="eastAsia" w:ascii="仿宋" w:hAnsi="仿宋" w:eastAsia="仿宋" w:cs="仿宋"/>
                <w:color w:val="auto"/>
                <w:highlight w:val="none"/>
              </w:rPr>
              <w:t>备  注</w:t>
            </w:r>
          </w:p>
        </w:tc>
        <w:tc>
          <w:tcPr>
            <w:tcW w:w="4561" w:type="dxa"/>
            <w:gridSpan w:val="2"/>
            <w:vAlign w:val="center"/>
          </w:tcPr>
          <w:p>
            <w:pPr>
              <w:rPr>
                <w:rFonts w:ascii="仿宋" w:hAnsi="仿宋" w:eastAsia="仿宋" w:cs="仿宋"/>
                <w:color w:val="auto"/>
                <w:highlight w:val="none"/>
              </w:rPr>
            </w:pPr>
          </w:p>
        </w:tc>
      </w:tr>
    </w:tbl>
    <w:p>
      <w:pPr>
        <w:pStyle w:val="42"/>
        <w:rPr>
          <w:rFonts w:ascii="仿宋" w:hAnsi="仿宋" w:eastAsia="仿宋" w:cs="仿宋"/>
          <w:color w:val="auto"/>
          <w:highlight w:val="none"/>
        </w:rPr>
      </w:pPr>
    </w:p>
    <w:p>
      <w:pPr>
        <w:pStyle w:val="42"/>
        <w:rPr>
          <w:rFonts w:ascii="仿宋" w:hAnsi="仿宋" w:eastAsia="仿宋" w:cs="仿宋"/>
          <w:color w:val="auto"/>
          <w:highlight w:val="none"/>
        </w:rPr>
      </w:pPr>
    </w:p>
    <w:p>
      <w:pPr>
        <w:spacing w:line="360" w:lineRule="auto"/>
        <w:rPr>
          <w:rFonts w:ascii="仿宋" w:hAnsi="仿宋" w:eastAsia="仿宋" w:cs="仿宋"/>
          <w:color w:val="auto"/>
          <w:sz w:val="24"/>
          <w:szCs w:val="22"/>
          <w:highlight w:val="none"/>
        </w:rPr>
      </w:pPr>
    </w:p>
    <w:p>
      <w:pPr>
        <w:spacing w:line="360" w:lineRule="auto"/>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 xml:space="preserve">法定代表人或者授权代表（签字或盖章）：                    </w:t>
      </w:r>
    </w:p>
    <w:p>
      <w:pPr>
        <w:spacing w:line="360" w:lineRule="auto"/>
        <w:rPr>
          <w:rFonts w:ascii="仿宋" w:hAnsi="仿宋" w:eastAsia="仿宋" w:cs="仿宋"/>
          <w:color w:val="auto"/>
          <w:sz w:val="24"/>
          <w:szCs w:val="22"/>
          <w:highlight w:val="none"/>
          <w:u w:val="single"/>
        </w:rPr>
      </w:pPr>
      <w:r>
        <w:rPr>
          <w:rFonts w:hint="eastAsia" w:ascii="仿宋" w:hAnsi="仿宋" w:eastAsia="仿宋" w:cs="仿宋"/>
          <w:color w:val="auto"/>
          <w:sz w:val="24"/>
          <w:szCs w:val="22"/>
          <w:highlight w:val="none"/>
        </w:rPr>
        <w:t>磋商供应商全称（盖章）：</w:t>
      </w:r>
    </w:p>
    <w:p>
      <w:pPr>
        <w:spacing w:line="360" w:lineRule="auto"/>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 xml:space="preserve">                                               日期：    年   月  日  </w:t>
      </w:r>
    </w:p>
    <w:p>
      <w:pPr>
        <w:spacing w:line="360" w:lineRule="auto"/>
        <w:rPr>
          <w:rFonts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注：</w:t>
      </w:r>
    </w:p>
    <w:p>
      <w:pPr>
        <w:snapToGrid w:val="0"/>
        <w:spacing w:line="360" w:lineRule="auto"/>
        <w:rPr>
          <w:rFonts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1、本表为样表，具体可以自行调整。</w:t>
      </w:r>
    </w:p>
    <w:p>
      <w:pPr>
        <w:snapToGrid w:val="0"/>
        <w:spacing w:line="360" w:lineRule="auto"/>
        <w:rPr>
          <w:rFonts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2、最终报价表将在磋商现场填写，竞争性磋商响应文件密封提交时只需填写磋商响应报价表（最终报价表请各响应商提前盖好公章在磋商现场填写）。</w:t>
      </w:r>
    </w:p>
    <w:p>
      <w:pPr>
        <w:pStyle w:val="3"/>
        <w:spacing w:line="360" w:lineRule="auto"/>
        <w:jc w:val="left"/>
        <w:rPr>
          <w:rFonts w:ascii="仿宋" w:hAnsi="仿宋" w:eastAsia="仿宋" w:cs="仿宋"/>
          <w:color w:val="auto"/>
          <w:sz w:val="24"/>
          <w:szCs w:val="24"/>
          <w:highlight w:val="none"/>
        </w:rPr>
      </w:pPr>
      <w:r>
        <w:rPr>
          <w:rFonts w:hint="eastAsia" w:ascii="仿宋" w:hAnsi="仿宋" w:eastAsia="仿宋" w:cs="仿宋"/>
          <w:b/>
          <w:color w:val="auto"/>
          <w:sz w:val="24"/>
          <w:szCs w:val="24"/>
          <w:highlight w:val="none"/>
        </w:rPr>
        <w:t>3、</w:t>
      </w:r>
      <w:r>
        <w:rPr>
          <w:rFonts w:hint="eastAsia" w:ascii="仿宋" w:hAnsi="仿宋" w:eastAsia="仿宋" w:cs="仿宋"/>
          <w:b/>
          <w:bCs/>
          <w:color w:val="auto"/>
          <w:sz w:val="24"/>
          <w:szCs w:val="24"/>
          <w:highlight w:val="none"/>
        </w:rPr>
        <w:t>响应单位的报价（人民币）按单项报价，报价（以人民币计价）应包括完成本次招标范围内全部工作内容所需所有费用。其中应包括但不限于勘测费、调查费、劳务费、咨询费、会务费、出版费、管理费、方案编制费、资料收集、专家论证、成果验收、利润、税金、保险等与此有关的一切费用。供应商中标后应根据国家、省、市、工程所在地政府及相关部门的规定缴纳有关费用。即招标物服务周期结束前的所有费用且包含响应磋商文件采购要求的所有费用。</w:t>
      </w:r>
    </w:p>
    <w:p>
      <w:pPr>
        <w:snapToGrid w:val="0"/>
        <w:spacing w:line="360" w:lineRule="auto"/>
        <w:rPr>
          <w:rFonts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4、最后一次报价不得高于前一次报价。</w:t>
      </w:r>
    </w:p>
    <w:p>
      <w:pPr>
        <w:pStyle w:val="61"/>
        <w:spacing w:line="360" w:lineRule="auto"/>
        <w:ind w:firstLine="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5、报价小数点精确到后两位。</w:t>
      </w:r>
    </w:p>
    <w:p>
      <w:pPr>
        <w:pStyle w:val="61"/>
        <w:spacing w:line="360" w:lineRule="auto"/>
        <w:ind w:firstLine="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6、最终分项报价按照最终磋商的总价同比例下浮。</w:t>
      </w:r>
    </w:p>
    <w:p>
      <w:pPr>
        <w:rPr>
          <w:rFonts w:hint="eastAsia" w:ascii="仿宋" w:hAnsi="仿宋" w:eastAsia="仿宋" w:cs="仿宋"/>
          <w:b/>
          <w:bCs/>
          <w:color w:val="auto"/>
          <w:sz w:val="24"/>
          <w:szCs w:val="24"/>
          <w:highlight w:val="none"/>
        </w:rPr>
      </w:pPr>
    </w:p>
    <w:p>
      <w:pPr>
        <w:pStyle w:val="2"/>
        <w:rPr>
          <w:rFonts w:hint="eastAsia" w:ascii="仿宋" w:hAnsi="仿宋" w:eastAsia="仿宋" w:cs="仿宋"/>
          <w:b/>
          <w:bCs/>
          <w:color w:val="auto"/>
          <w:sz w:val="24"/>
          <w:szCs w:val="24"/>
          <w:highlight w:val="none"/>
        </w:rPr>
      </w:pPr>
    </w:p>
    <w:p>
      <w:pPr>
        <w:pStyle w:val="2"/>
        <w:rPr>
          <w:rFonts w:hint="eastAsia" w:ascii="仿宋" w:hAnsi="仿宋" w:eastAsia="仿宋" w:cs="仿宋"/>
          <w:b/>
          <w:bCs/>
          <w:color w:val="auto"/>
          <w:sz w:val="24"/>
          <w:szCs w:val="24"/>
          <w:highlight w:val="none"/>
        </w:rPr>
      </w:pPr>
    </w:p>
    <w:p>
      <w:pPr>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附件：质疑函范本</w:t>
      </w:r>
    </w:p>
    <w:p>
      <w:pPr>
        <w:adjustRightInd w:val="0"/>
        <w:snapToGrid w:val="0"/>
        <w:spacing w:before="320" w:beforeLines="100" w:line="360" w:lineRule="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一、质疑供应商基本信息</w:t>
      </w:r>
    </w:p>
    <w:p>
      <w:pPr>
        <w:adjustRightInd w:val="0"/>
        <w:snapToGrid w:val="0"/>
        <w:spacing w:line="360" w:lineRule="auto"/>
        <w:rPr>
          <w:rFonts w:hint="eastAsia" w:ascii="仿宋" w:hAnsi="仿宋" w:eastAsia="仿宋" w:cs="仿宋"/>
          <w:color w:val="auto"/>
          <w:sz w:val="28"/>
          <w:szCs w:val="28"/>
          <w:highlight w:val="none"/>
          <w:u w:val="dotted"/>
        </w:rPr>
      </w:pPr>
      <w:r>
        <w:rPr>
          <w:rFonts w:hint="eastAsia" w:ascii="仿宋" w:hAnsi="仿宋" w:eastAsia="仿宋" w:cs="仿宋"/>
          <w:color w:val="auto"/>
          <w:sz w:val="28"/>
          <w:szCs w:val="28"/>
          <w:highlight w:val="none"/>
        </w:rPr>
        <w:t>质疑供应商：</w:t>
      </w:r>
    </w:p>
    <w:p>
      <w:pPr>
        <w:adjustRightInd w:val="0"/>
        <w:snapToGrid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地址：邮编：</w:t>
      </w:r>
    </w:p>
    <w:p>
      <w:pPr>
        <w:adjustRightInd w:val="0"/>
        <w:snapToGrid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联系人：联系电话：</w:t>
      </w:r>
    </w:p>
    <w:p>
      <w:pPr>
        <w:adjustRightInd w:val="0"/>
        <w:snapToGrid w:val="0"/>
        <w:spacing w:line="360" w:lineRule="auto"/>
        <w:rPr>
          <w:rFonts w:hint="eastAsia" w:ascii="仿宋" w:hAnsi="仿宋" w:eastAsia="仿宋" w:cs="仿宋"/>
          <w:color w:val="auto"/>
          <w:sz w:val="28"/>
          <w:szCs w:val="28"/>
          <w:highlight w:val="none"/>
          <w:u w:val="dotted"/>
        </w:rPr>
      </w:pPr>
      <w:r>
        <w:rPr>
          <w:rFonts w:hint="eastAsia" w:ascii="仿宋" w:hAnsi="仿宋" w:eastAsia="仿宋" w:cs="仿宋"/>
          <w:color w:val="auto"/>
          <w:sz w:val="28"/>
          <w:szCs w:val="28"/>
          <w:highlight w:val="none"/>
        </w:rPr>
        <w:t>授权代表：</w:t>
      </w:r>
    </w:p>
    <w:p>
      <w:pPr>
        <w:adjustRightInd w:val="0"/>
        <w:snapToGrid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联系电话：</w:t>
      </w:r>
    </w:p>
    <w:p>
      <w:pPr>
        <w:adjustRightInd w:val="0"/>
        <w:snapToGrid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地址：邮编：</w:t>
      </w:r>
    </w:p>
    <w:p>
      <w:pPr>
        <w:adjustRightInd w:val="0"/>
        <w:snapToGrid w:val="0"/>
        <w:spacing w:line="360" w:lineRule="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二、质疑项目基本情况</w:t>
      </w:r>
    </w:p>
    <w:p>
      <w:pPr>
        <w:adjustRightInd w:val="0"/>
        <w:snapToGrid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质疑项目的名称：</w:t>
      </w:r>
    </w:p>
    <w:p>
      <w:pPr>
        <w:adjustRightInd w:val="0"/>
        <w:snapToGrid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质疑项目的编号：包号：</w:t>
      </w:r>
    </w:p>
    <w:p>
      <w:pPr>
        <w:adjustRightInd w:val="0"/>
        <w:snapToGrid w:val="0"/>
        <w:spacing w:line="360" w:lineRule="auto"/>
        <w:rPr>
          <w:rFonts w:hint="eastAsia" w:ascii="仿宋" w:hAnsi="仿宋" w:eastAsia="仿宋" w:cs="仿宋"/>
          <w:color w:val="auto"/>
          <w:sz w:val="28"/>
          <w:szCs w:val="28"/>
          <w:highlight w:val="none"/>
          <w:u w:val="dotted"/>
        </w:rPr>
      </w:pPr>
      <w:r>
        <w:rPr>
          <w:rFonts w:hint="eastAsia" w:ascii="仿宋" w:hAnsi="仿宋" w:eastAsia="仿宋" w:cs="仿宋"/>
          <w:color w:val="auto"/>
          <w:sz w:val="28"/>
          <w:szCs w:val="28"/>
          <w:highlight w:val="none"/>
        </w:rPr>
        <w:t>采购人名称：</w:t>
      </w:r>
    </w:p>
    <w:p>
      <w:pPr>
        <w:adjustRightInd w:val="0"/>
        <w:snapToGrid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采购文件获取日期：</w:t>
      </w:r>
    </w:p>
    <w:p>
      <w:pPr>
        <w:adjustRightInd w:val="0"/>
        <w:snapToGrid w:val="0"/>
        <w:spacing w:line="360" w:lineRule="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三、质疑事项具体内容</w:t>
      </w:r>
    </w:p>
    <w:p>
      <w:pPr>
        <w:adjustRightInd w:val="0"/>
        <w:snapToGrid w:val="0"/>
        <w:spacing w:line="360" w:lineRule="auto"/>
        <w:rPr>
          <w:rFonts w:hint="eastAsia" w:ascii="仿宋" w:hAnsi="仿宋" w:eastAsia="仿宋" w:cs="仿宋"/>
          <w:color w:val="auto"/>
          <w:sz w:val="28"/>
          <w:szCs w:val="28"/>
          <w:highlight w:val="none"/>
          <w:u w:val="dotted"/>
        </w:rPr>
      </w:pPr>
      <w:r>
        <w:rPr>
          <w:rFonts w:hint="eastAsia" w:ascii="仿宋" w:hAnsi="仿宋" w:eastAsia="仿宋" w:cs="仿宋"/>
          <w:color w:val="auto"/>
          <w:sz w:val="28"/>
          <w:szCs w:val="28"/>
          <w:highlight w:val="none"/>
        </w:rPr>
        <w:t>质疑事项1：</w:t>
      </w:r>
    </w:p>
    <w:p>
      <w:pPr>
        <w:adjustRightInd w:val="0"/>
        <w:snapToGrid w:val="0"/>
        <w:spacing w:line="360" w:lineRule="auto"/>
        <w:rPr>
          <w:rFonts w:hint="eastAsia" w:ascii="仿宋" w:hAnsi="仿宋" w:eastAsia="仿宋" w:cs="仿宋"/>
          <w:color w:val="auto"/>
          <w:sz w:val="28"/>
          <w:szCs w:val="28"/>
          <w:highlight w:val="none"/>
          <w:u w:val="dotted"/>
        </w:rPr>
      </w:pPr>
      <w:r>
        <w:rPr>
          <w:rFonts w:hint="eastAsia" w:ascii="仿宋" w:hAnsi="仿宋" w:eastAsia="仿宋" w:cs="仿宋"/>
          <w:color w:val="auto"/>
          <w:sz w:val="28"/>
          <w:szCs w:val="28"/>
          <w:highlight w:val="none"/>
        </w:rPr>
        <w:t>事实依据：</w:t>
      </w:r>
    </w:p>
    <w:p>
      <w:pPr>
        <w:adjustRightInd w:val="0"/>
        <w:snapToGrid w:val="0"/>
        <w:spacing w:line="360" w:lineRule="auto"/>
        <w:rPr>
          <w:rFonts w:hint="eastAsia" w:ascii="仿宋" w:hAnsi="仿宋" w:eastAsia="仿宋" w:cs="仿宋"/>
          <w:color w:val="auto"/>
          <w:sz w:val="28"/>
          <w:szCs w:val="28"/>
          <w:highlight w:val="none"/>
        </w:rPr>
      </w:pPr>
    </w:p>
    <w:p>
      <w:pPr>
        <w:adjustRightInd w:val="0"/>
        <w:snapToGrid w:val="0"/>
        <w:spacing w:line="360" w:lineRule="auto"/>
        <w:rPr>
          <w:rFonts w:hint="eastAsia" w:ascii="仿宋" w:hAnsi="仿宋" w:eastAsia="仿宋" w:cs="仿宋"/>
          <w:color w:val="auto"/>
          <w:sz w:val="28"/>
          <w:szCs w:val="28"/>
          <w:highlight w:val="none"/>
          <w:u w:val="dotted"/>
        </w:rPr>
      </w:pPr>
      <w:r>
        <w:rPr>
          <w:rFonts w:hint="eastAsia" w:ascii="仿宋" w:hAnsi="仿宋" w:eastAsia="仿宋" w:cs="仿宋"/>
          <w:color w:val="auto"/>
          <w:sz w:val="28"/>
          <w:szCs w:val="28"/>
          <w:highlight w:val="none"/>
        </w:rPr>
        <w:t>法律依据：</w:t>
      </w:r>
    </w:p>
    <w:p>
      <w:pPr>
        <w:adjustRightInd w:val="0"/>
        <w:snapToGrid w:val="0"/>
        <w:spacing w:line="360" w:lineRule="auto"/>
        <w:rPr>
          <w:rFonts w:hint="eastAsia" w:ascii="仿宋" w:hAnsi="仿宋" w:eastAsia="仿宋" w:cs="仿宋"/>
          <w:color w:val="auto"/>
          <w:sz w:val="28"/>
          <w:szCs w:val="28"/>
          <w:highlight w:val="none"/>
          <w:u w:val="dotted"/>
        </w:rPr>
      </w:pPr>
    </w:p>
    <w:p>
      <w:pPr>
        <w:adjustRightInd w:val="0"/>
        <w:snapToGrid w:val="0"/>
        <w:spacing w:line="360" w:lineRule="auto"/>
        <w:rPr>
          <w:rFonts w:hint="eastAsia" w:ascii="仿宋" w:hAnsi="仿宋" w:eastAsia="仿宋" w:cs="仿宋"/>
          <w:color w:val="auto"/>
          <w:sz w:val="28"/>
          <w:szCs w:val="28"/>
          <w:highlight w:val="none"/>
          <w:u w:val="dotted"/>
        </w:rPr>
      </w:pPr>
      <w:r>
        <w:rPr>
          <w:rFonts w:hint="eastAsia" w:ascii="仿宋" w:hAnsi="仿宋" w:eastAsia="仿宋" w:cs="仿宋"/>
          <w:color w:val="auto"/>
          <w:sz w:val="28"/>
          <w:szCs w:val="28"/>
          <w:highlight w:val="none"/>
        </w:rPr>
        <w:t>质疑事项2</w:t>
      </w:r>
    </w:p>
    <w:p>
      <w:pPr>
        <w:adjustRightInd w:val="0"/>
        <w:snapToGrid w:val="0"/>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p>
    <w:p>
      <w:pPr>
        <w:adjustRightInd w:val="0"/>
        <w:snapToGrid w:val="0"/>
        <w:spacing w:line="360" w:lineRule="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四、与质疑事项相关的质疑请求</w:t>
      </w:r>
    </w:p>
    <w:p>
      <w:pPr>
        <w:adjustRightInd w:val="0"/>
        <w:snapToGrid w:val="0"/>
        <w:spacing w:line="360" w:lineRule="auto"/>
        <w:rPr>
          <w:rFonts w:hint="eastAsia" w:ascii="仿宋" w:hAnsi="仿宋" w:eastAsia="仿宋" w:cs="仿宋"/>
          <w:color w:val="auto"/>
          <w:sz w:val="28"/>
          <w:szCs w:val="28"/>
          <w:highlight w:val="none"/>
          <w:u w:val="dotted"/>
        </w:rPr>
      </w:pPr>
      <w:r>
        <w:rPr>
          <w:rFonts w:hint="eastAsia" w:ascii="仿宋" w:hAnsi="仿宋" w:eastAsia="仿宋" w:cs="仿宋"/>
          <w:color w:val="auto"/>
          <w:sz w:val="28"/>
          <w:szCs w:val="28"/>
          <w:highlight w:val="none"/>
        </w:rPr>
        <w:t>请求：</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签字(签章)：                   公章：                      </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日期：    </w:t>
      </w:r>
    </w:p>
    <w:p>
      <w:pPr>
        <w:adjustRightInd w:val="0"/>
        <w:snapToGrid w:val="0"/>
        <w:spacing w:line="360" w:lineRule="auto"/>
        <w:rPr>
          <w:rFonts w:hint="eastAsia" w:ascii="仿宋" w:hAnsi="仿宋" w:eastAsia="仿宋" w:cs="仿宋"/>
          <w:color w:val="auto"/>
          <w:sz w:val="28"/>
          <w:szCs w:val="28"/>
          <w:highlight w:val="none"/>
        </w:rPr>
      </w:pPr>
    </w:p>
    <w:p>
      <w:pPr>
        <w:rPr>
          <w:rFonts w:hint="eastAsia" w:ascii="仿宋" w:hAnsi="仿宋" w:eastAsia="仿宋" w:cs="仿宋"/>
          <w:b/>
          <w:color w:val="auto"/>
          <w:sz w:val="28"/>
          <w:szCs w:val="28"/>
          <w:highlight w:val="none"/>
        </w:rPr>
      </w:pPr>
    </w:p>
    <w:p>
      <w:pP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质疑函制作说明：</w:t>
      </w:r>
    </w:p>
    <w:p>
      <w:pPr>
        <w:widowControl/>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1.供应商提出质疑时，应提交质疑函和必要的证明材料。</w:t>
      </w:r>
    </w:p>
    <w:p>
      <w:pPr>
        <w:widowControl/>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8"/>
          <w:szCs w:val="28"/>
          <w:highlight w:val="none"/>
        </w:rPr>
        <w:t>供应商签署的授权委托书。授权委托书应载明代理人的姓名或者名称、代理事项、具体权限、期限和相关事项。</w:t>
      </w:r>
    </w:p>
    <w:p>
      <w:pPr>
        <w:widowControl/>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3.质疑供应商若对项目的某一分包进行质疑，质疑函中应列明具体分包号。</w:t>
      </w:r>
    </w:p>
    <w:p>
      <w:pPr>
        <w:widowControl/>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4.质疑函的质疑事项应具体、明确，并有必要的事实依据和法律依据。</w:t>
      </w:r>
    </w:p>
    <w:p>
      <w:pPr>
        <w:widowControl/>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5.质疑函的质疑请求应与质疑事项相关。</w:t>
      </w:r>
    </w:p>
    <w:p>
      <w:pPr>
        <w:widowControl/>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6.质疑供应商为自然人的，质疑函应由本人签字；质疑供应商为法人或者其他组织的，质疑函应由法定代表人、主要负责人，或者其授权代表签字或者盖章，并加盖公章。</w:t>
      </w:r>
    </w:p>
    <w:p>
      <w:pPr>
        <w:pStyle w:val="2"/>
        <w:rPr>
          <w:rFonts w:hint="eastAsia" w:ascii="仿宋" w:hAnsi="仿宋" w:eastAsia="仿宋" w:cs="仿宋"/>
          <w:b/>
          <w:bCs/>
          <w:color w:val="auto"/>
          <w:sz w:val="24"/>
          <w:szCs w:val="24"/>
          <w:highlight w:val="none"/>
        </w:rPr>
      </w:pPr>
      <w:bookmarkStart w:id="135" w:name="_GoBack"/>
      <w:bookmarkEnd w:id="135"/>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92D3F4"/>
    <w:multiLevelType w:val="singleLevel"/>
    <w:tmpl w:val="AA92D3F4"/>
    <w:lvl w:ilvl="0" w:tentative="0">
      <w:start w:val="1"/>
      <w:numFmt w:val="decimal"/>
      <w:lvlText w:val="(%1)"/>
      <w:lvlJc w:val="left"/>
      <w:pPr>
        <w:ind w:left="995" w:hanging="425"/>
      </w:pPr>
      <w:rPr>
        <w:rFonts w:hint="default"/>
      </w:rPr>
    </w:lvl>
  </w:abstractNum>
  <w:abstractNum w:abstractNumId="1">
    <w:nsid w:val="B254E8F9"/>
    <w:multiLevelType w:val="singleLevel"/>
    <w:tmpl w:val="B254E8F9"/>
    <w:lvl w:ilvl="0" w:tentative="0">
      <w:start w:val="6"/>
      <w:numFmt w:val="decimal"/>
      <w:suff w:val="nothing"/>
      <w:lvlText w:val="%1、"/>
      <w:lvlJc w:val="left"/>
      <w:rPr>
        <w:rFonts w:cs="Times New Roman"/>
      </w:rPr>
    </w:lvl>
  </w:abstractNum>
  <w:abstractNum w:abstractNumId="2">
    <w:nsid w:val="B94A634C"/>
    <w:multiLevelType w:val="singleLevel"/>
    <w:tmpl w:val="B94A634C"/>
    <w:lvl w:ilvl="0" w:tentative="0">
      <w:start w:val="1"/>
      <w:numFmt w:val="decimal"/>
      <w:suff w:val="nothing"/>
      <w:lvlText w:val="%1、"/>
      <w:lvlJc w:val="left"/>
    </w:lvl>
  </w:abstractNum>
  <w:abstractNum w:abstractNumId="3">
    <w:nsid w:val="C8E51B0D"/>
    <w:multiLevelType w:val="singleLevel"/>
    <w:tmpl w:val="C8E51B0D"/>
    <w:lvl w:ilvl="0" w:tentative="0">
      <w:start w:val="1"/>
      <w:numFmt w:val="decimal"/>
      <w:suff w:val="nothing"/>
      <w:lvlText w:val="%1、"/>
      <w:lvlJc w:val="left"/>
    </w:lvl>
  </w:abstractNum>
  <w:abstractNum w:abstractNumId="4">
    <w:nsid w:val="F1856E75"/>
    <w:multiLevelType w:val="singleLevel"/>
    <w:tmpl w:val="F1856E75"/>
    <w:lvl w:ilvl="0" w:tentative="0">
      <w:start w:val="1"/>
      <w:numFmt w:val="decimal"/>
      <w:suff w:val="nothing"/>
      <w:lvlText w:val="（%1）"/>
      <w:lvlJc w:val="left"/>
    </w:lvl>
  </w:abstractNum>
  <w:abstractNum w:abstractNumId="5">
    <w:nsid w:val="1EDE73E2"/>
    <w:multiLevelType w:val="multilevel"/>
    <w:tmpl w:val="1EDE73E2"/>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22133A4E"/>
    <w:multiLevelType w:val="singleLevel"/>
    <w:tmpl w:val="22133A4E"/>
    <w:lvl w:ilvl="0" w:tentative="0">
      <w:start w:val="4"/>
      <w:numFmt w:val="chineseCounting"/>
      <w:suff w:val="space"/>
      <w:lvlText w:val="第%1章"/>
      <w:lvlJc w:val="left"/>
      <w:rPr>
        <w:rFonts w:hint="eastAsia"/>
      </w:rPr>
    </w:lvl>
  </w:abstractNum>
  <w:abstractNum w:abstractNumId="7">
    <w:nsid w:val="24E44CEA"/>
    <w:multiLevelType w:val="singleLevel"/>
    <w:tmpl w:val="24E44CEA"/>
    <w:lvl w:ilvl="0" w:tentative="0">
      <w:start w:val="1"/>
      <w:numFmt w:val="decimal"/>
      <w:lvlText w:val="(%1)"/>
      <w:lvlJc w:val="left"/>
      <w:pPr>
        <w:ind w:left="425" w:hanging="425"/>
      </w:pPr>
      <w:rPr>
        <w:rFonts w:hint="default"/>
      </w:rPr>
    </w:lvl>
  </w:abstractNum>
  <w:abstractNum w:abstractNumId="8">
    <w:nsid w:val="270A76DF"/>
    <w:multiLevelType w:val="singleLevel"/>
    <w:tmpl w:val="270A76DF"/>
    <w:lvl w:ilvl="0" w:tentative="0">
      <w:start w:val="1"/>
      <w:numFmt w:val="decimal"/>
      <w:suff w:val="nothing"/>
      <w:lvlText w:val="%1、"/>
      <w:lvlJc w:val="left"/>
    </w:lvl>
  </w:abstractNum>
  <w:abstractNum w:abstractNumId="9">
    <w:nsid w:val="4AE5579B"/>
    <w:multiLevelType w:val="singleLevel"/>
    <w:tmpl w:val="4AE5579B"/>
    <w:lvl w:ilvl="0" w:tentative="0">
      <w:start w:val="3"/>
      <w:numFmt w:val="chineseCounting"/>
      <w:lvlText w:val="%1."/>
      <w:lvlJc w:val="left"/>
      <w:pPr>
        <w:tabs>
          <w:tab w:val="left" w:pos="312"/>
        </w:tabs>
      </w:pPr>
      <w:rPr>
        <w:rFonts w:hint="eastAsia"/>
      </w:rPr>
    </w:lvl>
  </w:abstractNum>
  <w:abstractNum w:abstractNumId="10">
    <w:nsid w:val="5A92BF44"/>
    <w:multiLevelType w:val="singleLevel"/>
    <w:tmpl w:val="5A92BF44"/>
    <w:lvl w:ilvl="0" w:tentative="0">
      <w:start w:val="1"/>
      <w:numFmt w:val="decimal"/>
      <w:suff w:val="nothing"/>
      <w:lvlText w:val="%1、"/>
      <w:lvlJc w:val="left"/>
    </w:lvl>
  </w:abstractNum>
  <w:abstractNum w:abstractNumId="11">
    <w:nsid w:val="61C44FD8"/>
    <w:multiLevelType w:val="singleLevel"/>
    <w:tmpl w:val="61C44FD8"/>
    <w:lvl w:ilvl="0" w:tentative="0">
      <w:start w:val="1"/>
      <w:numFmt w:val="decimalEnclosedCircleChinese"/>
      <w:suff w:val="nothing"/>
      <w:lvlText w:val="%1　"/>
      <w:lvlJc w:val="left"/>
      <w:pPr>
        <w:ind w:left="309" w:firstLine="400"/>
      </w:pPr>
      <w:rPr>
        <w:rFonts w:hint="eastAsia"/>
        <w:lang w:val="en-US"/>
      </w:rPr>
    </w:lvl>
  </w:abstractNum>
  <w:abstractNum w:abstractNumId="12">
    <w:nsid w:val="643B21A8"/>
    <w:multiLevelType w:val="singleLevel"/>
    <w:tmpl w:val="643B21A8"/>
    <w:lvl w:ilvl="0" w:tentative="0">
      <w:start w:val="1"/>
      <w:numFmt w:val="chineseCounting"/>
      <w:suff w:val="nothing"/>
      <w:lvlText w:val="（%1）"/>
      <w:lvlJc w:val="left"/>
      <w:pPr>
        <w:ind w:left="0" w:firstLine="420"/>
      </w:pPr>
      <w:rPr>
        <w:rFonts w:hint="eastAsia"/>
        <w:b/>
        <w:bCs/>
      </w:rPr>
    </w:lvl>
  </w:abstractNum>
  <w:abstractNum w:abstractNumId="13">
    <w:nsid w:val="79661E47"/>
    <w:multiLevelType w:val="multilevel"/>
    <w:tmpl w:val="79661E4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1"/>
  </w:num>
  <w:num w:numId="3">
    <w:abstractNumId w:val="13"/>
  </w:num>
  <w:num w:numId="4">
    <w:abstractNumId w:val="5"/>
  </w:num>
  <w:num w:numId="5">
    <w:abstractNumId w:val="7"/>
  </w:num>
  <w:num w:numId="6">
    <w:abstractNumId w:val="11"/>
  </w:num>
  <w:num w:numId="7">
    <w:abstractNumId w:val="9"/>
  </w:num>
  <w:num w:numId="8">
    <w:abstractNumId w:val="8"/>
  </w:num>
  <w:num w:numId="9">
    <w:abstractNumId w:val="0"/>
  </w:num>
  <w:num w:numId="10">
    <w:abstractNumId w:val="12"/>
  </w:num>
  <w:num w:numId="11">
    <w:abstractNumId w:val="2"/>
  </w:num>
  <w:num w:numId="12">
    <w:abstractNumId w:val="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jYTE1YzMzZTBmMTVlZmFmNTZmMTBiMjRmMjBkYmEifQ=="/>
    <w:docVar w:name="KGWebUrl" w:val="http://jszfcg.jsczt.cn/jszc/gateWay/joffice/office?access_token=9850c20a-c423-4af2-af20-9fad3265f482"/>
  </w:docVars>
  <w:rsids>
    <w:rsidRoot w:val="009F1011"/>
    <w:rsid w:val="0000025E"/>
    <w:rsid w:val="00001697"/>
    <w:rsid w:val="00001F6A"/>
    <w:rsid w:val="00003041"/>
    <w:rsid w:val="000058C2"/>
    <w:rsid w:val="00005E2B"/>
    <w:rsid w:val="000073F3"/>
    <w:rsid w:val="00007C60"/>
    <w:rsid w:val="00010F18"/>
    <w:rsid w:val="00012822"/>
    <w:rsid w:val="00012D3A"/>
    <w:rsid w:val="000130AC"/>
    <w:rsid w:val="0001541B"/>
    <w:rsid w:val="00017EA8"/>
    <w:rsid w:val="00021756"/>
    <w:rsid w:val="00023984"/>
    <w:rsid w:val="00024622"/>
    <w:rsid w:val="0002624A"/>
    <w:rsid w:val="000263F9"/>
    <w:rsid w:val="0002750D"/>
    <w:rsid w:val="000326D4"/>
    <w:rsid w:val="0003295B"/>
    <w:rsid w:val="0003347D"/>
    <w:rsid w:val="00035869"/>
    <w:rsid w:val="000410D2"/>
    <w:rsid w:val="0004154F"/>
    <w:rsid w:val="0004255A"/>
    <w:rsid w:val="000425EE"/>
    <w:rsid w:val="0004452C"/>
    <w:rsid w:val="00046141"/>
    <w:rsid w:val="00052AE4"/>
    <w:rsid w:val="00056847"/>
    <w:rsid w:val="00060E14"/>
    <w:rsid w:val="00061ECB"/>
    <w:rsid w:val="00062E7B"/>
    <w:rsid w:val="00063275"/>
    <w:rsid w:val="000650C7"/>
    <w:rsid w:val="00065304"/>
    <w:rsid w:val="0006606E"/>
    <w:rsid w:val="0006682A"/>
    <w:rsid w:val="00066FB5"/>
    <w:rsid w:val="0006715B"/>
    <w:rsid w:val="00073429"/>
    <w:rsid w:val="000736B5"/>
    <w:rsid w:val="00073A6F"/>
    <w:rsid w:val="000743AE"/>
    <w:rsid w:val="000744D8"/>
    <w:rsid w:val="00074BE3"/>
    <w:rsid w:val="0007705F"/>
    <w:rsid w:val="00077C86"/>
    <w:rsid w:val="000819BE"/>
    <w:rsid w:val="00086398"/>
    <w:rsid w:val="00087F54"/>
    <w:rsid w:val="00094728"/>
    <w:rsid w:val="0009476B"/>
    <w:rsid w:val="00096110"/>
    <w:rsid w:val="000A01F6"/>
    <w:rsid w:val="000A031B"/>
    <w:rsid w:val="000A1377"/>
    <w:rsid w:val="000A3463"/>
    <w:rsid w:val="000A393A"/>
    <w:rsid w:val="000A592A"/>
    <w:rsid w:val="000B0BCC"/>
    <w:rsid w:val="000B1EB3"/>
    <w:rsid w:val="000B3306"/>
    <w:rsid w:val="000B4099"/>
    <w:rsid w:val="000B5215"/>
    <w:rsid w:val="000B60C6"/>
    <w:rsid w:val="000B6829"/>
    <w:rsid w:val="000B7EAD"/>
    <w:rsid w:val="000C24E7"/>
    <w:rsid w:val="000C4097"/>
    <w:rsid w:val="000C478A"/>
    <w:rsid w:val="000D1C73"/>
    <w:rsid w:val="000D20C2"/>
    <w:rsid w:val="000D2B96"/>
    <w:rsid w:val="000D3267"/>
    <w:rsid w:val="000D3F91"/>
    <w:rsid w:val="000D402B"/>
    <w:rsid w:val="000D5EFA"/>
    <w:rsid w:val="000D66EA"/>
    <w:rsid w:val="000D6BEA"/>
    <w:rsid w:val="000E102E"/>
    <w:rsid w:val="000E3064"/>
    <w:rsid w:val="000E4A99"/>
    <w:rsid w:val="000E4E07"/>
    <w:rsid w:val="000E61E6"/>
    <w:rsid w:val="000F3323"/>
    <w:rsid w:val="000F357E"/>
    <w:rsid w:val="000F3689"/>
    <w:rsid w:val="000F3C63"/>
    <w:rsid w:val="000F624E"/>
    <w:rsid w:val="000F6601"/>
    <w:rsid w:val="000F775D"/>
    <w:rsid w:val="00100BE8"/>
    <w:rsid w:val="00101A8F"/>
    <w:rsid w:val="00103DFE"/>
    <w:rsid w:val="0010479C"/>
    <w:rsid w:val="00104B93"/>
    <w:rsid w:val="001053FC"/>
    <w:rsid w:val="0010688E"/>
    <w:rsid w:val="001100AD"/>
    <w:rsid w:val="0011569F"/>
    <w:rsid w:val="00116528"/>
    <w:rsid w:val="00117B03"/>
    <w:rsid w:val="00120788"/>
    <w:rsid w:val="00121C82"/>
    <w:rsid w:val="00121DC3"/>
    <w:rsid w:val="001240B4"/>
    <w:rsid w:val="00127786"/>
    <w:rsid w:val="00127AB5"/>
    <w:rsid w:val="00130D83"/>
    <w:rsid w:val="00132CF0"/>
    <w:rsid w:val="00133BC4"/>
    <w:rsid w:val="00135AE5"/>
    <w:rsid w:val="001373CA"/>
    <w:rsid w:val="00137AB9"/>
    <w:rsid w:val="0014039B"/>
    <w:rsid w:val="00140809"/>
    <w:rsid w:val="0014176C"/>
    <w:rsid w:val="0014198C"/>
    <w:rsid w:val="00142949"/>
    <w:rsid w:val="0014391A"/>
    <w:rsid w:val="0015008B"/>
    <w:rsid w:val="0015414A"/>
    <w:rsid w:val="00155727"/>
    <w:rsid w:val="00155A76"/>
    <w:rsid w:val="00155C1B"/>
    <w:rsid w:val="00155EB1"/>
    <w:rsid w:val="00160E7A"/>
    <w:rsid w:val="001637E8"/>
    <w:rsid w:val="001645F4"/>
    <w:rsid w:val="0017056C"/>
    <w:rsid w:val="00170C44"/>
    <w:rsid w:val="00173291"/>
    <w:rsid w:val="001757EE"/>
    <w:rsid w:val="00176582"/>
    <w:rsid w:val="001775E9"/>
    <w:rsid w:val="001804EB"/>
    <w:rsid w:val="001821BD"/>
    <w:rsid w:val="00186122"/>
    <w:rsid w:val="001904BD"/>
    <w:rsid w:val="00190999"/>
    <w:rsid w:val="001913A2"/>
    <w:rsid w:val="0019175F"/>
    <w:rsid w:val="00192048"/>
    <w:rsid w:val="001938F3"/>
    <w:rsid w:val="00194DF8"/>
    <w:rsid w:val="00197238"/>
    <w:rsid w:val="00197CAE"/>
    <w:rsid w:val="001A0457"/>
    <w:rsid w:val="001A6B7B"/>
    <w:rsid w:val="001A7550"/>
    <w:rsid w:val="001B5066"/>
    <w:rsid w:val="001C026F"/>
    <w:rsid w:val="001C6135"/>
    <w:rsid w:val="001C74E5"/>
    <w:rsid w:val="001C7994"/>
    <w:rsid w:val="001D0985"/>
    <w:rsid w:val="001D1014"/>
    <w:rsid w:val="001D2BB2"/>
    <w:rsid w:val="001D660C"/>
    <w:rsid w:val="001D682C"/>
    <w:rsid w:val="001E03F3"/>
    <w:rsid w:val="001E4236"/>
    <w:rsid w:val="001E5C39"/>
    <w:rsid w:val="001E69A0"/>
    <w:rsid w:val="001F0E80"/>
    <w:rsid w:val="001F3A6F"/>
    <w:rsid w:val="001F40F1"/>
    <w:rsid w:val="001F5C55"/>
    <w:rsid w:val="001F6CDB"/>
    <w:rsid w:val="001F6D46"/>
    <w:rsid w:val="00201724"/>
    <w:rsid w:val="00201E87"/>
    <w:rsid w:val="00202FE8"/>
    <w:rsid w:val="002032C6"/>
    <w:rsid w:val="002056E8"/>
    <w:rsid w:val="00206F98"/>
    <w:rsid w:val="0021058F"/>
    <w:rsid w:val="00211835"/>
    <w:rsid w:val="0021189A"/>
    <w:rsid w:val="002137C5"/>
    <w:rsid w:val="00213F6F"/>
    <w:rsid w:val="00214F13"/>
    <w:rsid w:val="00215EA6"/>
    <w:rsid w:val="00217F4B"/>
    <w:rsid w:val="00217F56"/>
    <w:rsid w:val="00224210"/>
    <w:rsid w:val="0022591B"/>
    <w:rsid w:val="002343F1"/>
    <w:rsid w:val="00237B48"/>
    <w:rsid w:val="002405DB"/>
    <w:rsid w:val="00240A33"/>
    <w:rsid w:val="00241E74"/>
    <w:rsid w:val="00243A03"/>
    <w:rsid w:val="00245489"/>
    <w:rsid w:val="00246387"/>
    <w:rsid w:val="00250957"/>
    <w:rsid w:val="00252E6C"/>
    <w:rsid w:val="00254355"/>
    <w:rsid w:val="00255199"/>
    <w:rsid w:val="00255F66"/>
    <w:rsid w:val="0025647D"/>
    <w:rsid w:val="002568E5"/>
    <w:rsid w:val="00257AE2"/>
    <w:rsid w:val="0026238D"/>
    <w:rsid w:val="0026484A"/>
    <w:rsid w:val="00264AFC"/>
    <w:rsid w:val="00267724"/>
    <w:rsid w:val="002710FC"/>
    <w:rsid w:val="002749C6"/>
    <w:rsid w:val="002749F7"/>
    <w:rsid w:val="00274C52"/>
    <w:rsid w:val="00276937"/>
    <w:rsid w:val="002802A1"/>
    <w:rsid w:val="00280916"/>
    <w:rsid w:val="002823A8"/>
    <w:rsid w:val="0028419D"/>
    <w:rsid w:val="00284D88"/>
    <w:rsid w:val="00285FF7"/>
    <w:rsid w:val="00286635"/>
    <w:rsid w:val="0029064B"/>
    <w:rsid w:val="00291323"/>
    <w:rsid w:val="0029314B"/>
    <w:rsid w:val="00294BEF"/>
    <w:rsid w:val="002954BC"/>
    <w:rsid w:val="002969FC"/>
    <w:rsid w:val="002A0442"/>
    <w:rsid w:val="002A0B9D"/>
    <w:rsid w:val="002A151B"/>
    <w:rsid w:val="002A4391"/>
    <w:rsid w:val="002A64E2"/>
    <w:rsid w:val="002A77AD"/>
    <w:rsid w:val="002A7B7D"/>
    <w:rsid w:val="002B09E9"/>
    <w:rsid w:val="002B4046"/>
    <w:rsid w:val="002B424A"/>
    <w:rsid w:val="002B5D4A"/>
    <w:rsid w:val="002B63C9"/>
    <w:rsid w:val="002B6C27"/>
    <w:rsid w:val="002C0D11"/>
    <w:rsid w:val="002C23FA"/>
    <w:rsid w:val="002C4A32"/>
    <w:rsid w:val="002C5110"/>
    <w:rsid w:val="002C569D"/>
    <w:rsid w:val="002C58E0"/>
    <w:rsid w:val="002C598E"/>
    <w:rsid w:val="002C75CE"/>
    <w:rsid w:val="002C7F93"/>
    <w:rsid w:val="002D23CC"/>
    <w:rsid w:val="002D36A0"/>
    <w:rsid w:val="002D4193"/>
    <w:rsid w:val="002D616F"/>
    <w:rsid w:val="002D7337"/>
    <w:rsid w:val="002D7A34"/>
    <w:rsid w:val="002D7E58"/>
    <w:rsid w:val="002E0C20"/>
    <w:rsid w:val="002E1057"/>
    <w:rsid w:val="002E1C08"/>
    <w:rsid w:val="002E5225"/>
    <w:rsid w:val="002E6240"/>
    <w:rsid w:val="002E710B"/>
    <w:rsid w:val="002E78E6"/>
    <w:rsid w:val="002F06BF"/>
    <w:rsid w:val="002F0EAB"/>
    <w:rsid w:val="002F26EA"/>
    <w:rsid w:val="002F57F9"/>
    <w:rsid w:val="003009CB"/>
    <w:rsid w:val="0030105C"/>
    <w:rsid w:val="003012B0"/>
    <w:rsid w:val="00303868"/>
    <w:rsid w:val="00304A57"/>
    <w:rsid w:val="00305BAF"/>
    <w:rsid w:val="00305DE8"/>
    <w:rsid w:val="003078E6"/>
    <w:rsid w:val="00315417"/>
    <w:rsid w:val="003158B6"/>
    <w:rsid w:val="00320856"/>
    <w:rsid w:val="00321AB4"/>
    <w:rsid w:val="00321C21"/>
    <w:rsid w:val="00323B8F"/>
    <w:rsid w:val="00334D4C"/>
    <w:rsid w:val="00335E82"/>
    <w:rsid w:val="0034093D"/>
    <w:rsid w:val="00343918"/>
    <w:rsid w:val="00344186"/>
    <w:rsid w:val="00344761"/>
    <w:rsid w:val="00346644"/>
    <w:rsid w:val="003469F0"/>
    <w:rsid w:val="00350BA7"/>
    <w:rsid w:val="00351217"/>
    <w:rsid w:val="00351EC9"/>
    <w:rsid w:val="0035654C"/>
    <w:rsid w:val="003576C5"/>
    <w:rsid w:val="003603FD"/>
    <w:rsid w:val="00361BEE"/>
    <w:rsid w:val="00364BCC"/>
    <w:rsid w:val="00366F74"/>
    <w:rsid w:val="00370E99"/>
    <w:rsid w:val="003747CC"/>
    <w:rsid w:val="00374886"/>
    <w:rsid w:val="003752C8"/>
    <w:rsid w:val="00375D5A"/>
    <w:rsid w:val="00376D15"/>
    <w:rsid w:val="00380A36"/>
    <w:rsid w:val="003828F1"/>
    <w:rsid w:val="00383108"/>
    <w:rsid w:val="00383120"/>
    <w:rsid w:val="003831F9"/>
    <w:rsid w:val="00384E3B"/>
    <w:rsid w:val="00391285"/>
    <w:rsid w:val="003933C9"/>
    <w:rsid w:val="00393CFA"/>
    <w:rsid w:val="00395064"/>
    <w:rsid w:val="003968BE"/>
    <w:rsid w:val="003A53F8"/>
    <w:rsid w:val="003A6F77"/>
    <w:rsid w:val="003B1B26"/>
    <w:rsid w:val="003B5F80"/>
    <w:rsid w:val="003C1B4F"/>
    <w:rsid w:val="003C1C5C"/>
    <w:rsid w:val="003C3057"/>
    <w:rsid w:val="003C38EF"/>
    <w:rsid w:val="003C712C"/>
    <w:rsid w:val="003C719F"/>
    <w:rsid w:val="003D0BEE"/>
    <w:rsid w:val="003D2651"/>
    <w:rsid w:val="003D2958"/>
    <w:rsid w:val="003D464E"/>
    <w:rsid w:val="003D4A5D"/>
    <w:rsid w:val="003D4C5F"/>
    <w:rsid w:val="003D4E4B"/>
    <w:rsid w:val="003E3D1D"/>
    <w:rsid w:val="003E6499"/>
    <w:rsid w:val="003E6A54"/>
    <w:rsid w:val="003E7995"/>
    <w:rsid w:val="003E7AAA"/>
    <w:rsid w:val="003E7D16"/>
    <w:rsid w:val="003F088B"/>
    <w:rsid w:val="003F2530"/>
    <w:rsid w:val="003F3001"/>
    <w:rsid w:val="003F40E0"/>
    <w:rsid w:val="003F41BE"/>
    <w:rsid w:val="003F6FBD"/>
    <w:rsid w:val="00400021"/>
    <w:rsid w:val="00403BCA"/>
    <w:rsid w:val="00404018"/>
    <w:rsid w:val="00404612"/>
    <w:rsid w:val="004140F7"/>
    <w:rsid w:val="00414C8B"/>
    <w:rsid w:val="00415390"/>
    <w:rsid w:val="004172B4"/>
    <w:rsid w:val="004179B8"/>
    <w:rsid w:val="004214D6"/>
    <w:rsid w:val="00422D53"/>
    <w:rsid w:val="004263D8"/>
    <w:rsid w:val="004265CE"/>
    <w:rsid w:val="004268EF"/>
    <w:rsid w:val="00432794"/>
    <w:rsid w:val="004350E0"/>
    <w:rsid w:val="00435727"/>
    <w:rsid w:val="00436A4A"/>
    <w:rsid w:val="00437812"/>
    <w:rsid w:val="00441724"/>
    <w:rsid w:val="00444D36"/>
    <w:rsid w:val="00446311"/>
    <w:rsid w:val="004469CD"/>
    <w:rsid w:val="00454123"/>
    <w:rsid w:val="00454A2F"/>
    <w:rsid w:val="00457808"/>
    <w:rsid w:val="004610C0"/>
    <w:rsid w:val="00462540"/>
    <w:rsid w:val="004629FF"/>
    <w:rsid w:val="00463470"/>
    <w:rsid w:val="0046644A"/>
    <w:rsid w:val="00466F76"/>
    <w:rsid w:val="00467971"/>
    <w:rsid w:val="004705CA"/>
    <w:rsid w:val="00474D3C"/>
    <w:rsid w:val="00476149"/>
    <w:rsid w:val="0047616B"/>
    <w:rsid w:val="00476789"/>
    <w:rsid w:val="0048057F"/>
    <w:rsid w:val="004821D1"/>
    <w:rsid w:val="00482214"/>
    <w:rsid w:val="004822CC"/>
    <w:rsid w:val="0048344E"/>
    <w:rsid w:val="00485059"/>
    <w:rsid w:val="00486182"/>
    <w:rsid w:val="00486D83"/>
    <w:rsid w:val="00492535"/>
    <w:rsid w:val="004925F1"/>
    <w:rsid w:val="004935E9"/>
    <w:rsid w:val="004953C2"/>
    <w:rsid w:val="004957B1"/>
    <w:rsid w:val="004960F8"/>
    <w:rsid w:val="00497A5B"/>
    <w:rsid w:val="004A0C46"/>
    <w:rsid w:val="004A0F5E"/>
    <w:rsid w:val="004A198D"/>
    <w:rsid w:val="004A2314"/>
    <w:rsid w:val="004A3A22"/>
    <w:rsid w:val="004A55A9"/>
    <w:rsid w:val="004A56A7"/>
    <w:rsid w:val="004A7D78"/>
    <w:rsid w:val="004B05DD"/>
    <w:rsid w:val="004B2A0C"/>
    <w:rsid w:val="004B33EC"/>
    <w:rsid w:val="004B5174"/>
    <w:rsid w:val="004C20D2"/>
    <w:rsid w:val="004C28BE"/>
    <w:rsid w:val="004C41CA"/>
    <w:rsid w:val="004C4653"/>
    <w:rsid w:val="004C46B7"/>
    <w:rsid w:val="004C5DA1"/>
    <w:rsid w:val="004C5F9E"/>
    <w:rsid w:val="004C79C1"/>
    <w:rsid w:val="004C7F40"/>
    <w:rsid w:val="004D1869"/>
    <w:rsid w:val="004D2CFB"/>
    <w:rsid w:val="004D6863"/>
    <w:rsid w:val="004D71A1"/>
    <w:rsid w:val="004D72D0"/>
    <w:rsid w:val="004D7FCE"/>
    <w:rsid w:val="004E1113"/>
    <w:rsid w:val="004E21B4"/>
    <w:rsid w:val="004E60B1"/>
    <w:rsid w:val="004E6AE4"/>
    <w:rsid w:val="004E6F5F"/>
    <w:rsid w:val="004E79B7"/>
    <w:rsid w:val="004E7F3C"/>
    <w:rsid w:val="004F0203"/>
    <w:rsid w:val="004F13B5"/>
    <w:rsid w:val="004F1808"/>
    <w:rsid w:val="004F20A5"/>
    <w:rsid w:val="004F387E"/>
    <w:rsid w:val="004F60C1"/>
    <w:rsid w:val="004F6C9D"/>
    <w:rsid w:val="004F72DA"/>
    <w:rsid w:val="00500636"/>
    <w:rsid w:val="005009A5"/>
    <w:rsid w:val="00504C57"/>
    <w:rsid w:val="00507A1F"/>
    <w:rsid w:val="00514F85"/>
    <w:rsid w:val="00520190"/>
    <w:rsid w:val="005203BF"/>
    <w:rsid w:val="00520771"/>
    <w:rsid w:val="0052443A"/>
    <w:rsid w:val="00531227"/>
    <w:rsid w:val="005324E9"/>
    <w:rsid w:val="00532879"/>
    <w:rsid w:val="005350E8"/>
    <w:rsid w:val="0054386A"/>
    <w:rsid w:val="00545DE2"/>
    <w:rsid w:val="00551108"/>
    <w:rsid w:val="00551597"/>
    <w:rsid w:val="00563601"/>
    <w:rsid w:val="00564110"/>
    <w:rsid w:val="00565869"/>
    <w:rsid w:val="00566ED1"/>
    <w:rsid w:val="00567EB6"/>
    <w:rsid w:val="00571464"/>
    <w:rsid w:val="005727AF"/>
    <w:rsid w:val="005735B6"/>
    <w:rsid w:val="005735C8"/>
    <w:rsid w:val="00573748"/>
    <w:rsid w:val="00575673"/>
    <w:rsid w:val="00575A57"/>
    <w:rsid w:val="00577594"/>
    <w:rsid w:val="00577857"/>
    <w:rsid w:val="00580DC5"/>
    <w:rsid w:val="00581934"/>
    <w:rsid w:val="005821AB"/>
    <w:rsid w:val="00583F6F"/>
    <w:rsid w:val="00585A05"/>
    <w:rsid w:val="00586776"/>
    <w:rsid w:val="00586A34"/>
    <w:rsid w:val="00590277"/>
    <w:rsid w:val="005946F8"/>
    <w:rsid w:val="005964AC"/>
    <w:rsid w:val="0059652F"/>
    <w:rsid w:val="005A1516"/>
    <w:rsid w:val="005A2523"/>
    <w:rsid w:val="005A2692"/>
    <w:rsid w:val="005A279B"/>
    <w:rsid w:val="005A40B3"/>
    <w:rsid w:val="005A5B1D"/>
    <w:rsid w:val="005A6242"/>
    <w:rsid w:val="005A78F6"/>
    <w:rsid w:val="005A7D88"/>
    <w:rsid w:val="005A7D9E"/>
    <w:rsid w:val="005B0CA2"/>
    <w:rsid w:val="005B0D89"/>
    <w:rsid w:val="005B1BED"/>
    <w:rsid w:val="005B1ED0"/>
    <w:rsid w:val="005B5494"/>
    <w:rsid w:val="005B57AD"/>
    <w:rsid w:val="005B648E"/>
    <w:rsid w:val="005C1729"/>
    <w:rsid w:val="005C297B"/>
    <w:rsid w:val="005C2F4A"/>
    <w:rsid w:val="005C5A70"/>
    <w:rsid w:val="005C73C5"/>
    <w:rsid w:val="005D0218"/>
    <w:rsid w:val="005D0775"/>
    <w:rsid w:val="005D3613"/>
    <w:rsid w:val="005D3E38"/>
    <w:rsid w:val="005E26BF"/>
    <w:rsid w:val="005E2D44"/>
    <w:rsid w:val="005E4037"/>
    <w:rsid w:val="005E5E52"/>
    <w:rsid w:val="005F044A"/>
    <w:rsid w:val="005F0ED8"/>
    <w:rsid w:val="005F55FF"/>
    <w:rsid w:val="005F7100"/>
    <w:rsid w:val="005F7ABB"/>
    <w:rsid w:val="00600367"/>
    <w:rsid w:val="00600DAC"/>
    <w:rsid w:val="00601B87"/>
    <w:rsid w:val="006020E7"/>
    <w:rsid w:val="006025CF"/>
    <w:rsid w:val="0060315E"/>
    <w:rsid w:val="006105E0"/>
    <w:rsid w:val="00616CF2"/>
    <w:rsid w:val="00617763"/>
    <w:rsid w:val="006202CC"/>
    <w:rsid w:val="00623B88"/>
    <w:rsid w:val="00626D89"/>
    <w:rsid w:val="0063061E"/>
    <w:rsid w:val="006319B9"/>
    <w:rsid w:val="006324BC"/>
    <w:rsid w:val="00633EEE"/>
    <w:rsid w:val="006342B2"/>
    <w:rsid w:val="00634EC7"/>
    <w:rsid w:val="00635281"/>
    <w:rsid w:val="00636ACA"/>
    <w:rsid w:val="0063759E"/>
    <w:rsid w:val="006420EB"/>
    <w:rsid w:val="00644099"/>
    <w:rsid w:val="00644672"/>
    <w:rsid w:val="00645560"/>
    <w:rsid w:val="00650DE1"/>
    <w:rsid w:val="006561C5"/>
    <w:rsid w:val="00663E07"/>
    <w:rsid w:val="006650C0"/>
    <w:rsid w:val="00665641"/>
    <w:rsid w:val="0067236C"/>
    <w:rsid w:val="006732A6"/>
    <w:rsid w:val="00674CF5"/>
    <w:rsid w:val="00675790"/>
    <w:rsid w:val="00685724"/>
    <w:rsid w:val="00687BBF"/>
    <w:rsid w:val="00691342"/>
    <w:rsid w:val="00692CD3"/>
    <w:rsid w:val="00694947"/>
    <w:rsid w:val="006962E6"/>
    <w:rsid w:val="00696DBE"/>
    <w:rsid w:val="006A516F"/>
    <w:rsid w:val="006A63FF"/>
    <w:rsid w:val="006A700F"/>
    <w:rsid w:val="006A7C41"/>
    <w:rsid w:val="006B125C"/>
    <w:rsid w:val="006B4C98"/>
    <w:rsid w:val="006B6E92"/>
    <w:rsid w:val="006C03C5"/>
    <w:rsid w:val="006C06C9"/>
    <w:rsid w:val="006C2324"/>
    <w:rsid w:val="006C2984"/>
    <w:rsid w:val="006C3981"/>
    <w:rsid w:val="006D0A6A"/>
    <w:rsid w:val="006D484B"/>
    <w:rsid w:val="006D5448"/>
    <w:rsid w:val="006D6DA4"/>
    <w:rsid w:val="006E3D63"/>
    <w:rsid w:val="006E5DF6"/>
    <w:rsid w:val="006E673D"/>
    <w:rsid w:val="006E78AC"/>
    <w:rsid w:val="006F05FC"/>
    <w:rsid w:val="006F3415"/>
    <w:rsid w:val="006F4E2C"/>
    <w:rsid w:val="006F67DE"/>
    <w:rsid w:val="006F746D"/>
    <w:rsid w:val="006F7B3B"/>
    <w:rsid w:val="00702014"/>
    <w:rsid w:val="00703042"/>
    <w:rsid w:val="007032FB"/>
    <w:rsid w:val="00706722"/>
    <w:rsid w:val="0071071C"/>
    <w:rsid w:val="0071116C"/>
    <w:rsid w:val="00711B1D"/>
    <w:rsid w:val="00712A05"/>
    <w:rsid w:val="007131BE"/>
    <w:rsid w:val="00714DA0"/>
    <w:rsid w:val="0071770F"/>
    <w:rsid w:val="00725DC3"/>
    <w:rsid w:val="00731E9B"/>
    <w:rsid w:val="00732562"/>
    <w:rsid w:val="0073323E"/>
    <w:rsid w:val="00733F82"/>
    <w:rsid w:val="007361A1"/>
    <w:rsid w:val="007368A9"/>
    <w:rsid w:val="00736E24"/>
    <w:rsid w:val="0073774E"/>
    <w:rsid w:val="00737E75"/>
    <w:rsid w:val="00740011"/>
    <w:rsid w:val="00740C69"/>
    <w:rsid w:val="00742231"/>
    <w:rsid w:val="00743945"/>
    <w:rsid w:val="00743D52"/>
    <w:rsid w:val="007467B9"/>
    <w:rsid w:val="00752DAF"/>
    <w:rsid w:val="007531BE"/>
    <w:rsid w:val="00753293"/>
    <w:rsid w:val="007538A5"/>
    <w:rsid w:val="00754022"/>
    <w:rsid w:val="00755153"/>
    <w:rsid w:val="00760B2B"/>
    <w:rsid w:val="00760D44"/>
    <w:rsid w:val="00761DAF"/>
    <w:rsid w:val="00765080"/>
    <w:rsid w:val="00766984"/>
    <w:rsid w:val="00767868"/>
    <w:rsid w:val="00770084"/>
    <w:rsid w:val="00770176"/>
    <w:rsid w:val="00771E4F"/>
    <w:rsid w:val="00773F07"/>
    <w:rsid w:val="00774406"/>
    <w:rsid w:val="007752C3"/>
    <w:rsid w:val="0077596F"/>
    <w:rsid w:val="00777106"/>
    <w:rsid w:val="00782205"/>
    <w:rsid w:val="0078307F"/>
    <w:rsid w:val="00784057"/>
    <w:rsid w:val="0078428E"/>
    <w:rsid w:val="00787A03"/>
    <w:rsid w:val="0079063A"/>
    <w:rsid w:val="00793627"/>
    <w:rsid w:val="007A03A9"/>
    <w:rsid w:val="007A14FF"/>
    <w:rsid w:val="007A35F1"/>
    <w:rsid w:val="007A5267"/>
    <w:rsid w:val="007A6A07"/>
    <w:rsid w:val="007A7B9B"/>
    <w:rsid w:val="007B1676"/>
    <w:rsid w:val="007B4D96"/>
    <w:rsid w:val="007B5655"/>
    <w:rsid w:val="007B5BA9"/>
    <w:rsid w:val="007C0C41"/>
    <w:rsid w:val="007C126B"/>
    <w:rsid w:val="007C3732"/>
    <w:rsid w:val="007C3B93"/>
    <w:rsid w:val="007C50AF"/>
    <w:rsid w:val="007C5A36"/>
    <w:rsid w:val="007E0A28"/>
    <w:rsid w:val="007E2AC4"/>
    <w:rsid w:val="007E39B2"/>
    <w:rsid w:val="007E4478"/>
    <w:rsid w:val="007E69A7"/>
    <w:rsid w:val="007F04EC"/>
    <w:rsid w:val="007F20C0"/>
    <w:rsid w:val="007F51DE"/>
    <w:rsid w:val="007F7209"/>
    <w:rsid w:val="008022DA"/>
    <w:rsid w:val="0080355F"/>
    <w:rsid w:val="00804A0D"/>
    <w:rsid w:val="00805BC2"/>
    <w:rsid w:val="00806EAA"/>
    <w:rsid w:val="00810BFE"/>
    <w:rsid w:val="008158FA"/>
    <w:rsid w:val="00816377"/>
    <w:rsid w:val="00816B20"/>
    <w:rsid w:val="00820EA6"/>
    <w:rsid w:val="008237A5"/>
    <w:rsid w:val="008252FE"/>
    <w:rsid w:val="00825C82"/>
    <w:rsid w:val="00826FBF"/>
    <w:rsid w:val="008276D1"/>
    <w:rsid w:val="008304FF"/>
    <w:rsid w:val="00830D6F"/>
    <w:rsid w:val="00833459"/>
    <w:rsid w:val="008356D9"/>
    <w:rsid w:val="00835D02"/>
    <w:rsid w:val="0083753A"/>
    <w:rsid w:val="00840E95"/>
    <w:rsid w:val="0084105F"/>
    <w:rsid w:val="008428E3"/>
    <w:rsid w:val="008503D3"/>
    <w:rsid w:val="00852E54"/>
    <w:rsid w:val="00853EDA"/>
    <w:rsid w:val="0085414B"/>
    <w:rsid w:val="008549EF"/>
    <w:rsid w:val="00855BA1"/>
    <w:rsid w:val="008574AB"/>
    <w:rsid w:val="0086051E"/>
    <w:rsid w:val="00861EF1"/>
    <w:rsid w:val="00862062"/>
    <w:rsid w:val="00862FB2"/>
    <w:rsid w:val="00864E9B"/>
    <w:rsid w:val="008658D1"/>
    <w:rsid w:val="008676FA"/>
    <w:rsid w:val="008706A5"/>
    <w:rsid w:val="00870A0B"/>
    <w:rsid w:val="00871CB5"/>
    <w:rsid w:val="00872304"/>
    <w:rsid w:val="00872B39"/>
    <w:rsid w:val="00874B56"/>
    <w:rsid w:val="00874EDA"/>
    <w:rsid w:val="00875D40"/>
    <w:rsid w:val="008767B2"/>
    <w:rsid w:val="008844D1"/>
    <w:rsid w:val="00884798"/>
    <w:rsid w:val="0088752D"/>
    <w:rsid w:val="00890458"/>
    <w:rsid w:val="008911E2"/>
    <w:rsid w:val="0089183B"/>
    <w:rsid w:val="0089184B"/>
    <w:rsid w:val="008923FE"/>
    <w:rsid w:val="008926EF"/>
    <w:rsid w:val="00895EEE"/>
    <w:rsid w:val="008976DD"/>
    <w:rsid w:val="008A12A7"/>
    <w:rsid w:val="008A59E0"/>
    <w:rsid w:val="008A6C9E"/>
    <w:rsid w:val="008B58EC"/>
    <w:rsid w:val="008B733E"/>
    <w:rsid w:val="008B7F5B"/>
    <w:rsid w:val="008C11D5"/>
    <w:rsid w:val="008C1A04"/>
    <w:rsid w:val="008C200C"/>
    <w:rsid w:val="008C2DDE"/>
    <w:rsid w:val="008C36EF"/>
    <w:rsid w:val="008C3F28"/>
    <w:rsid w:val="008C4E67"/>
    <w:rsid w:val="008C5E1D"/>
    <w:rsid w:val="008C68BA"/>
    <w:rsid w:val="008C6A08"/>
    <w:rsid w:val="008D01E8"/>
    <w:rsid w:val="008D1811"/>
    <w:rsid w:val="008D3759"/>
    <w:rsid w:val="008D5089"/>
    <w:rsid w:val="008D6B08"/>
    <w:rsid w:val="008D7786"/>
    <w:rsid w:val="008E19D3"/>
    <w:rsid w:val="008E1BD1"/>
    <w:rsid w:val="008E3299"/>
    <w:rsid w:val="008E4E55"/>
    <w:rsid w:val="008E70BA"/>
    <w:rsid w:val="008F11B1"/>
    <w:rsid w:val="008F43C7"/>
    <w:rsid w:val="008F7A27"/>
    <w:rsid w:val="009003D8"/>
    <w:rsid w:val="00900E21"/>
    <w:rsid w:val="009029B3"/>
    <w:rsid w:val="009042E1"/>
    <w:rsid w:val="0090695B"/>
    <w:rsid w:val="00910583"/>
    <w:rsid w:val="00911A79"/>
    <w:rsid w:val="00911E2C"/>
    <w:rsid w:val="00912E66"/>
    <w:rsid w:val="0091341E"/>
    <w:rsid w:val="00917D97"/>
    <w:rsid w:val="00921D18"/>
    <w:rsid w:val="0092655C"/>
    <w:rsid w:val="00926EE3"/>
    <w:rsid w:val="009332A6"/>
    <w:rsid w:val="009350C0"/>
    <w:rsid w:val="00936F89"/>
    <w:rsid w:val="00940A2E"/>
    <w:rsid w:val="00940AAF"/>
    <w:rsid w:val="00940CE6"/>
    <w:rsid w:val="00940FBE"/>
    <w:rsid w:val="00941A02"/>
    <w:rsid w:val="009425ED"/>
    <w:rsid w:val="00942E44"/>
    <w:rsid w:val="00943E5E"/>
    <w:rsid w:val="00944E3B"/>
    <w:rsid w:val="00944E85"/>
    <w:rsid w:val="00944EE4"/>
    <w:rsid w:val="00945A08"/>
    <w:rsid w:val="00945EAF"/>
    <w:rsid w:val="00947D5F"/>
    <w:rsid w:val="00950CE4"/>
    <w:rsid w:val="00951537"/>
    <w:rsid w:val="0095178A"/>
    <w:rsid w:val="00953A74"/>
    <w:rsid w:val="00953DDF"/>
    <w:rsid w:val="00956FEF"/>
    <w:rsid w:val="00962318"/>
    <w:rsid w:val="00963A40"/>
    <w:rsid w:val="009676C4"/>
    <w:rsid w:val="0097356B"/>
    <w:rsid w:val="009761E2"/>
    <w:rsid w:val="009824CD"/>
    <w:rsid w:val="00982A7A"/>
    <w:rsid w:val="00982D78"/>
    <w:rsid w:val="00984C00"/>
    <w:rsid w:val="00986B74"/>
    <w:rsid w:val="0098753A"/>
    <w:rsid w:val="00992FC0"/>
    <w:rsid w:val="00993085"/>
    <w:rsid w:val="009948EB"/>
    <w:rsid w:val="009A04D0"/>
    <w:rsid w:val="009A0C16"/>
    <w:rsid w:val="009A1253"/>
    <w:rsid w:val="009A5077"/>
    <w:rsid w:val="009A5BED"/>
    <w:rsid w:val="009B07E4"/>
    <w:rsid w:val="009B119C"/>
    <w:rsid w:val="009B20C2"/>
    <w:rsid w:val="009B3720"/>
    <w:rsid w:val="009B6168"/>
    <w:rsid w:val="009B6DCD"/>
    <w:rsid w:val="009B762B"/>
    <w:rsid w:val="009C1239"/>
    <w:rsid w:val="009C2D35"/>
    <w:rsid w:val="009C4243"/>
    <w:rsid w:val="009C4460"/>
    <w:rsid w:val="009C4976"/>
    <w:rsid w:val="009D047E"/>
    <w:rsid w:val="009D24DC"/>
    <w:rsid w:val="009D2BE6"/>
    <w:rsid w:val="009D6009"/>
    <w:rsid w:val="009D62D1"/>
    <w:rsid w:val="009D6E58"/>
    <w:rsid w:val="009E031C"/>
    <w:rsid w:val="009E1832"/>
    <w:rsid w:val="009E2089"/>
    <w:rsid w:val="009E29EA"/>
    <w:rsid w:val="009E3A4E"/>
    <w:rsid w:val="009E6B75"/>
    <w:rsid w:val="009F0981"/>
    <w:rsid w:val="009F1011"/>
    <w:rsid w:val="009F17A3"/>
    <w:rsid w:val="009F2D5A"/>
    <w:rsid w:val="009F476C"/>
    <w:rsid w:val="009F4A6F"/>
    <w:rsid w:val="009F56E7"/>
    <w:rsid w:val="009F5CC2"/>
    <w:rsid w:val="009F5E2B"/>
    <w:rsid w:val="00A01CFC"/>
    <w:rsid w:val="00A04884"/>
    <w:rsid w:val="00A06400"/>
    <w:rsid w:val="00A066F7"/>
    <w:rsid w:val="00A07045"/>
    <w:rsid w:val="00A1046B"/>
    <w:rsid w:val="00A11257"/>
    <w:rsid w:val="00A161F7"/>
    <w:rsid w:val="00A165D2"/>
    <w:rsid w:val="00A20AE2"/>
    <w:rsid w:val="00A2156B"/>
    <w:rsid w:val="00A2478F"/>
    <w:rsid w:val="00A24F7C"/>
    <w:rsid w:val="00A2609F"/>
    <w:rsid w:val="00A322C6"/>
    <w:rsid w:val="00A32402"/>
    <w:rsid w:val="00A3296F"/>
    <w:rsid w:val="00A342D3"/>
    <w:rsid w:val="00A345BB"/>
    <w:rsid w:val="00A41426"/>
    <w:rsid w:val="00A422FF"/>
    <w:rsid w:val="00A435C6"/>
    <w:rsid w:val="00A4370F"/>
    <w:rsid w:val="00A47BCA"/>
    <w:rsid w:val="00A50E33"/>
    <w:rsid w:val="00A557CB"/>
    <w:rsid w:val="00A560D9"/>
    <w:rsid w:val="00A56184"/>
    <w:rsid w:val="00A56718"/>
    <w:rsid w:val="00A64065"/>
    <w:rsid w:val="00A65B92"/>
    <w:rsid w:val="00A718E3"/>
    <w:rsid w:val="00A735F7"/>
    <w:rsid w:val="00A7380E"/>
    <w:rsid w:val="00A765B1"/>
    <w:rsid w:val="00A769F4"/>
    <w:rsid w:val="00A76A2D"/>
    <w:rsid w:val="00A77D7A"/>
    <w:rsid w:val="00A8124E"/>
    <w:rsid w:val="00A8143E"/>
    <w:rsid w:val="00A82925"/>
    <w:rsid w:val="00A83617"/>
    <w:rsid w:val="00A84855"/>
    <w:rsid w:val="00A876A6"/>
    <w:rsid w:val="00A87839"/>
    <w:rsid w:val="00A87C3B"/>
    <w:rsid w:val="00A90F8D"/>
    <w:rsid w:val="00A91F58"/>
    <w:rsid w:val="00A924B1"/>
    <w:rsid w:val="00A92F48"/>
    <w:rsid w:val="00A937AD"/>
    <w:rsid w:val="00A94D15"/>
    <w:rsid w:val="00A95FF6"/>
    <w:rsid w:val="00A96B3C"/>
    <w:rsid w:val="00A96E4A"/>
    <w:rsid w:val="00A96F37"/>
    <w:rsid w:val="00AA310C"/>
    <w:rsid w:val="00AA465A"/>
    <w:rsid w:val="00AA5F7C"/>
    <w:rsid w:val="00AA6879"/>
    <w:rsid w:val="00AB1620"/>
    <w:rsid w:val="00AB162C"/>
    <w:rsid w:val="00AB433E"/>
    <w:rsid w:val="00AB4E6D"/>
    <w:rsid w:val="00AC05CB"/>
    <w:rsid w:val="00AC0708"/>
    <w:rsid w:val="00AC18BE"/>
    <w:rsid w:val="00AC1A22"/>
    <w:rsid w:val="00AC3B17"/>
    <w:rsid w:val="00AC458C"/>
    <w:rsid w:val="00AC7452"/>
    <w:rsid w:val="00AC7E85"/>
    <w:rsid w:val="00AD0A38"/>
    <w:rsid w:val="00AD14AD"/>
    <w:rsid w:val="00AD256D"/>
    <w:rsid w:val="00AD3240"/>
    <w:rsid w:val="00AD360B"/>
    <w:rsid w:val="00AD3FB8"/>
    <w:rsid w:val="00AD4390"/>
    <w:rsid w:val="00AD45A6"/>
    <w:rsid w:val="00AE2465"/>
    <w:rsid w:val="00AE527E"/>
    <w:rsid w:val="00AE53FE"/>
    <w:rsid w:val="00AE5BA8"/>
    <w:rsid w:val="00AE5E89"/>
    <w:rsid w:val="00AE7116"/>
    <w:rsid w:val="00AF18BF"/>
    <w:rsid w:val="00AF512E"/>
    <w:rsid w:val="00AF5DCB"/>
    <w:rsid w:val="00AF787E"/>
    <w:rsid w:val="00B00586"/>
    <w:rsid w:val="00B01217"/>
    <w:rsid w:val="00B01588"/>
    <w:rsid w:val="00B01B35"/>
    <w:rsid w:val="00B035CB"/>
    <w:rsid w:val="00B038BF"/>
    <w:rsid w:val="00B04300"/>
    <w:rsid w:val="00B04429"/>
    <w:rsid w:val="00B07010"/>
    <w:rsid w:val="00B07327"/>
    <w:rsid w:val="00B0736A"/>
    <w:rsid w:val="00B14347"/>
    <w:rsid w:val="00B14348"/>
    <w:rsid w:val="00B1450E"/>
    <w:rsid w:val="00B156DF"/>
    <w:rsid w:val="00B15D5E"/>
    <w:rsid w:val="00B1689E"/>
    <w:rsid w:val="00B21691"/>
    <w:rsid w:val="00B2505F"/>
    <w:rsid w:val="00B26B07"/>
    <w:rsid w:val="00B30B9D"/>
    <w:rsid w:val="00B32ABD"/>
    <w:rsid w:val="00B3369D"/>
    <w:rsid w:val="00B369FD"/>
    <w:rsid w:val="00B36AFC"/>
    <w:rsid w:val="00B373D3"/>
    <w:rsid w:val="00B376F8"/>
    <w:rsid w:val="00B37D21"/>
    <w:rsid w:val="00B404A3"/>
    <w:rsid w:val="00B40544"/>
    <w:rsid w:val="00B4169A"/>
    <w:rsid w:val="00B441DD"/>
    <w:rsid w:val="00B44C5D"/>
    <w:rsid w:val="00B44FEE"/>
    <w:rsid w:val="00B45161"/>
    <w:rsid w:val="00B4602B"/>
    <w:rsid w:val="00B479E4"/>
    <w:rsid w:val="00B549E1"/>
    <w:rsid w:val="00B54E7F"/>
    <w:rsid w:val="00B608BE"/>
    <w:rsid w:val="00B61578"/>
    <w:rsid w:val="00B62922"/>
    <w:rsid w:val="00B6557A"/>
    <w:rsid w:val="00B67247"/>
    <w:rsid w:val="00B67480"/>
    <w:rsid w:val="00B701F6"/>
    <w:rsid w:val="00B73C56"/>
    <w:rsid w:val="00B769FB"/>
    <w:rsid w:val="00B815BD"/>
    <w:rsid w:val="00B81F32"/>
    <w:rsid w:val="00B82CF0"/>
    <w:rsid w:val="00B82FFC"/>
    <w:rsid w:val="00B86DA2"/>
    <w:rsid w:val="00B86F47"/>
    <w:rsid w:val="00B92DF6"/>
    <w:rsid w:val="00B93281"/>
    <w:rsid w:val="00B95781"/>
    <w:rsid w:val="00B9701D"/>
    <w:rsid w:val="00BA048E"/>
    <w:rsid w:val="00BA0553"/>
    <w:rsid w:val="00BA0871"/>
    <w:rsid w:val="00BA08CA"/>
    <w:rsid w:val="00BA1BED"/>
    <w:rsid w:val="00BA1F99"/>
    <w:rsid w:val="00BA4ED8"/>
    <w:rsid w:val="00BA5FD3"/>
    <w:rsid w:val="00BA66A5"/>
    <w:rsid w:val="00BA6A93"/>
    <w:rsid w:val="00BB0B7B"/>
    <w:rsid w:val="00BB11A2"/>
    <w:rsid w:val="00BB1BCC"/>
    <w:rsid w:val="00BB24B2"/>
    <w:rsid w:val="00BB33CC"/>
    <w:rsid w:val="00BB3684"/>
    <w:rsid w:val="00BB36A9"/>
    <w:rsid w:val="00BB36FF"/>
    <w:rsid w:val="00BB3E9F"/>
    <w:rsid w:val="00BB406C"/>
    <w:rsid w:val="00BB4673"/>
    <w:rsid w:val="00BB4D05"/>
    <w:rsid w:val="00BB6E22"/>
    <w:rsid w:val="00BC344E"/>
    <w:rsid w:val="00BC34FB"/>
    <w:rsid w:val="00BC36E0"/>
    <w:rsid w:val="00BC3F40"/>
    <w:rsid w:val="00BC507E"/>
    <w:rsid w:val="00BC58F4"/>
    <w:rsid w:val="00BC59E9"/>
    <w:rsid w:val="00BD0ADD"/>
    <w:rsid w:val="00BD3127"/>
    <w:rsid w:val="00BD335E"/>
    <w:rsid w:val="00BD3A7D"/>
    <w:rsid w:val="00BD3BF4"/>
    <w:rsid w:val="00BD56F6"/>
    <w:rsid w:val="00BD6898"/>
    <w:rsid w:val="00BD7C4B"/>
    <w:rsid w:val="00BE034D"/>
    <w:rsid w:val="00BE0F4B"/>
    <w:rsid w:val="00BE1128"/>
    <w:rsid w:val="00BE13D1"/>
    <w:rsid w:val="00BE20D7"/>
    <w:rsid w:val="00BE2A9E"/>
    <w:rsid w:val="00BE36CB"/>
    <w:rsid w:val="00BE48E0"/>
    <w:rsid w:val="00BE6F54"/>
    <w:rsid w:val="00BE79BD"/>
    <w:rsid w:val="00BE7B13"/>
    <w:rsid w:val="00BF61F9"/>
    <w:rsid w:val="00BF6E17"/>
    <w:rsid w:val="00BF723F"/>
    <w:rsid w:val="00BF7C1B"/>
    <w:rsid w:val="00BF7E11"/>
    <w:rsid w:val="00C00192"/>
    <w:rsid w:val="00C018FB"/>
    <w:rsid w:val="00C04947"/>
    <w:rsid w:val="00C06E92"/>
    <w:rsid w:val="00C07D59"/>
    <w:rsid w:val="00C10AB8"/>
    <w:rsid w:val="00C10DF8"/>
    <w:rsid w:val="00C11D39"/>
    <w:rsid w:val="00C161E1"/>
    <w:rsid w:val="00C16A7C"/>
    <w:rsid w:val="00C16EE1"/>
    <w:rsid w:val="00C179F0"/>
    <w:rsid w:val="00C208F4"/>
    <w:rsid w:val="00C22FB9"/>
    <w:rsid w:val="00C235FF"/>
    <w:rsid w:val="00C24DA9"/>
    <w:rsid w:val="00C25ED6"/>
    <w:rsid w:val="00C264AF"/>
    <w:rsid w:val="00C2704F"/>
    <w:rsid w:val="00C27B02"/>
    <w:rsid w:val="00C30A3E"/>
    <w:rsid w:val="00C341C8"/>
    <w:rsid w:val="00C403B7"/>
    <w:rsid w:val="00C40624"/>
    <w:rsid w:val="00C41471"/>
    <w:rsid w:val="00C4361B"/>
    <w:rsid w:val="00C460DB"/>
    <w:rsid w:val="00C46575"/>
    <w:rsid w:val="00C50610"/>
    <w:rsid w:val="00C509A6"/>
    <w:rsid w:val="00C53BC3"/>
    <w:rsid w:val="00C54633"/>
    <w:rsid w:val="00C5569A"/>
    <w:rsid w:val="00C56E28"/>
    <w:rsid w:val="00C579B4"/>
    <w:rsid w:val="00C600C7"/>
    <w:rsid w:val="00C634D5"/>
    <w:rsid w:val="00C64D67"/>
    <w:rsid w:val="00C65355"/>
    <w:rsid w:val="00C72C02"/>
    <w:rsid w:val="00C7333B"/>
    <w:rsid w:val="00C7613A"/>
    <w:rsid w:val="00C77944"/>
    <w:rsid w:val="00C810DC"/>
    <w:rsid w:val="00C81EAA"/>
    <w:rsid w:val="00C8301C"/>
    <w:rsid w:val="00C838B1"/>
    <w:rsid w:val="00C9492D"/>
    <w:rsid w:val="00C94B67"/>
    <w:rsid w:val="00C95C11"/>
    <w:rsid w:val="00C97231"/>
    <w:rsid w:val="00CA1470"/>
    <w:rsid w:val="00CA3CA1"/>
    <w:rsid w:val="00CA3CE0"/>
    <w:rsid w:val="00CA481F"/>
    <w:rsid w:val="00CA5E8C"/>
    <w:rsid w:val="00CA7D26"/>
    <w:rsid w:val="00CB05E9"/>
    <w:rsid w:val="00CB0CFC"/>
    <w:rsid w:val="00CB20FE"/>
    <w:rsid w:val="00CB2EA1"/>
    <w:rsid w:val="00CB6EF1"/>
    <w:rsid w:val="00CC169A"/>
    <w:rsid w:val="00CC3851"/>
    <w:rsid w:val="00CC3FD2"/>
    <w:rsid w:val="00CC5BA8"/>
    <w:rsid w:val="00CC6811"/>
    <w:rsid w:val="00CC77CC"/>
    <w:rsid w:val="00CD1F2A"/>
    <w:rsid w:val="00CD3630"/>
    <w:rsid w:val="00CD4070"/>
    <w:rsid w:val="00CD4D0D"/>
    <w:rsid w:val="00CD5782"/>
    <w:rsid w:val="00CD7F4F"/>
    <w:rsid w:val="00CE2C2C"/>
    <w:rsid w:val="00CE4FD2"/>
    <w:rsid w:val="00CE6030"/>
    <w:rsid w:val="00CF0759"/>
    <w:rsid w:val="00CF0A87"/>
    <w:rsid w:val="00CF0C55"/>
    <w:rsid w:val="00CF0FB7"/>
    <w:rsid w:val="00CF26A3"/>
    <w:rsid w:val="00CF33DB"/>
    <w:rsid w:val="00CF7C7B"/>
    <w:rsid w:val="00D01129"/>
    <w:rsid w:val="00D01D34"/>
    <w:rsid w:val="00D02EA4"/>
    <w:rsid w:val="00D0375F"/>
    <w:rsid w:val="00D0462C"/>
    <w:rsid w:val="00D04D15"/>
    <w:rsid w:val="00D0587D"/>
    <w:rsid w:val="00D05982"/>
    <w:rsid w:val="00D05A58"/>
    <w:rsid w:val="00D05BA4"/>
    <w:rsid w:val="00D1094F"/>
    <w:rsid w:val="00D125E1"/>
    <w:rsid w:val="00D13235"/>
    <w:rsid w:val="00D136DF"/>
    <w:rsid w:val="00D13A04"/>
    <w:rsid w:val="00D13EDD"/>
    <w:rsid w:val="00D1604D"/>
    <w:rsid w:val="00D2092E"/>
    <w:rsid w:val="00D211A2"/>
    <w:rsid w:val="00D24FBE"/>
    <w:rsid w:val="00D30DD9"/>
    <w:rsid w:val="00D30FFC"/>
    <w:rsid w:val="00D31037"/>
    <w:rsid w:val="00D3194A"/>
    <w:rsid w:val="00D33F2C"/>
    <w:rsid w:val="00D3751A"/>
    <w:rsid w:val="00D377C5"/>
    <w:rsid w:val="00D409F2"/>
    <w:rsid w:val="00D418F4"/>
    <w:rsid w:val="00D423C6"/>
    <w:rsid w:val="00D4240C"/>
    <w:rsid w:val="00D45047"/>
    <w:rsid w:val="00D52018"/>
    <w:rsid w:val="00D54062"/>
    <w:rsid w:val="00D56424"/>
    <w:rsid w:val="00D61679"/>
    <w:rsid w:val="00D625C1"/>
    <w:rsid w:val="00D63EBF"/>
    <w:rsid w:val="00D64818"/>
    <w:rsid w:val="00D64834"/>
    <w:rsid w:val="00D650DF"/>
    <w:rsid w:val="00D672AA"/>
    <w:rsid w:val="00D704DA"/>
    <w:rsid w:val="00D7070F"/>
    <w:rsid w:val="00D70F4C"/>
    <w:rsid w:val="00D7180A"/>
    <w:rsid w:val="00D72C73"/>
    <w:rsid w:val="00D7507B"/>
    <w:rsid w:val="00D777D9"/>
    <w:rsid w:val="00D77BE8"/>
    <w:rsid w:val="00D80F6D"/>
    <w:rsid w:val="00D827D1"/>
    <w:rsid w:val="00D82BFE"/>
    <w:rsid w:val="00D84F90"/>
    <w:rsid w:val="00D873ED"/>
    <w:rsid w:val="00D87499"/>
    <w:rsid w:val="00D90BDB"/>
    <w:rsid w:val="00D90D59"/>
    <w:rsid w:val="00D91577"/>
    <w:rsid w:val="00D91D7E"/>
    <w:rsid w:val="00D9225F"/>
    <w:rsid w:val="00D92A3A"/>
    <w:rsid w:val="00D9470B"/>
    <w:rsid w:val="00D94BA3"/>
    <w:rsid w:val="00D969E1"/>
    <w:rsid w:val="00D9778F"/>
    <w:rsid w:val="00DA41D7"/>
    <w:rsid w:val="00DA4DB5"/>
    <w:rsid w:val="00DA6180"/>
    <w:rsid w:val="00DA6E10"/>
    <w:rsid w:val="00DB1427"/>
    <w:rsid w:val="00DB462F"/>
    <w:rsid w:val="00DC2B2F"/>
    <w:rsid w:val="00DC2D52"/>
    <w:rsid w:val="00DC328D"/>
    <w:rsid w:val="00DC44B3"/>
    <w:rsid w:val="00DD0C75"/>
    <w:rsid w:val="00DD187A"/>
    <w:rsid w:val="00DD5C5B"/>
    <w:rsid w:val="00DD5C99"/>
    <w:rsid w:val="00DD6500"/>
    <w:rsid w:val="00DD6C07"/>
    <w:rsid w:val="00DD6EA6"/>
    <w:rsid w:val="00DE2507"/>
    <w:rsid w:val="00DE2A60"/>
    <w:rsid w:val="00DE2E08"/>
    <w:rsid w:val="00DE3BFB"/>
    <w:rsid w:val="00DF08C9"/>
    <w:rsid w:val="00DF3D6E"/>
    <w:rsid w:val="00DF4881"/>
    <w:rsid w:val="00DF7C65"/>
    <w:rsid w:val="00E00D0E"/>
    <w:rsid w:val="00E03086"/>
    <w:rsid w:val="00E037A0"/>
    <w:rsid w:val="00E03DBC"/>
    <w:rsid w:val="00E03DF6"/>
    <w:rsid w:val="00E0535C"/>
    <w:rsid w:val="00E0671A"/>
    <w:rsid w:val="00E110DE"/>
    <w:rsid w:val="00E1319E"/>
    <w:rsid w:val="00E21803"/>
    <w:rsid w:val="00E2299C"/>
    <w:rsid w:val="00E22C11"/>
    <w:rsid w:val="00E23974"/>
    <w:rsid w:val="00E2610C"/>
    <w:rsid w:val="00E26BD3"/>
    <w:rsid w:val="00E30B0F"/>
    <w:rsid w:val="00E3371A"/>
    <w:rsid w:val="00E3467D"/>
    <w:rsid w:val="00E34F57"/>
    <w:rsid w:val="00E35329"/>
    <w:rsid w:val="00E40637"/>
    <w:rsid w:val="00E41F28"/>
    <w:rsid w:val="00E43A96"/>
    <w:rsid w:val="00E44834"/>
    <w:rsid w:val="00E539A0"/>
    <w:rsid w:val="00E53F53"/>
    <w:rsid w:val="00E56314"/>
    <w:rsid w:val="00E605FF"/>
    <w:rsid w:val="00E61CD5"/>
    <w:rsid w:val="00E637C4"/>
    <w:rsid w:val="00E71156"/>
    <w:rsid w:val="00E7194E"/>
    <w:rsid w:val="00E72DE6"/>
    <w:rsid w:val="00E766E1"/>
    <w:rsid w:val="00E76A11"/>
    <w:rsid w:val="00E76ECB"/>
    <w:rsid w:val="00E81CFA"/>
    <w:rsid w:val="00E82795"/>
    <w:rsid w:val="00E82DA2"/>
    <w:rsid w:val="00E833A9"/>
    <w:rsid w:val="00E85963"/>
    <w:rsid w:val="00E86959"/>
    <w:rsid w:val="00E8722E"/>
    <w:rsid w:val="00E909F0"/>
    <w:rsid w:val="00E9134F"/>
    <w:rsid w:val="00E916AD"/>
    <w:rsid w:val="00E96A56"/>
    <w:rsid w:val="00E9768F"/>
    <w:rsid w:val="00EA2390"/>
    <w:rsid w:val="00EA5FF7"/>
    <w:rsid w:val="00EB0853"/>
    <w:rsid w:val="00EB1CA8"/>
    <w:rsid w:val="00EB2866"/>
    <w:rsid w:val="00EB3A02"/>
    <w:rsid w:val="00EB44C0"/>
    <w:rsid w:val="00EB788C"/>
    <w:rsid w:val="00EC181C"/>
    <w:rsid w:val="00EC2787"/>
    <w:rsid w:val="00EC555A"/>
    <w:rsid w:val="00ED173D"/>
    <w:rsid w:val="00ED1C08"/>
    <w:rsid w:val="00ED4842"/>
    <w:rsid w:val="00ED79FB"/>
    <w:rsid w:val="00EE06D3"/>
    <w:rsid w:val="00EE0752"/>
    <w:rsid w:val="00EE0F68"/>
    <w:rsid w:val="00EE3028"/>
    <w:rsid w:val="00EE5C4A"/>
    <w:rsid w:val="00EF0D50"/>
    <w:rsid w:val="00EF19CC"/>
    <w:rsid w:val="00EF4B20"/>
    <w:rsid w:val="00EF60F2"/>
    <w:rsid w:val="00EF63B3"/>
    <w:rsid w:val="00EF7618"/>
    <w:rsid w:val="00F004BD"/>
    <w:rsid w:val="00F0098D"/>
    <w:rsid w:val="00F009F5"/>
    <w:rsid w:val="00F038C1"/>
    <w:rsid w:val="00F04712"/>
    <w:rsid w:val="00F05069"/>
    <w:rsid w:val="00F06F72"/>
    <w:rsid w:val="00F077C9"/>
    <w:rsid w:val="00F105C9"/>
    <w:rsid w:val="00F1253B"/>
    <w:rsid w:val="00F12777"/>
    <w:rsid w:val="00F12DBF"/>
    <w:rsid w:val="00F15993"/>
    <w:rsid w:val="00F177CC"/>
    <w:rsid w:val="00F179A8"/>
    <w:rsid w:val="00F23F1C"/>
    <w:rsid w:val="00F241B5"/>
    <w:rsid w:val="00F24283"/>
    <w:rsid w:val="00F25553"/>
    <w:rsid w:val="00F275E0"/>
    <w:rsid w:val="00F27B61"/>
    <w:rsid w:val="00F30297"/>
    <w:rsid w:val="00F302DB"/>
    <w:rsid w:val="00F32707"/>
    <w:rsid w:val="00F32A9D"/>
    <w:rsid w:val="00F32F96"/>
    <w:rsid w:val="00F341A2"/>
    <w:rsid w:val="00F36DDE"/>
    <w:rsid w:val="00F37481"/>
    <w:rsid w:val="00F405AD"/>
    <w:rsid w:val="00F40B7C"/>
    <w:rsid w:val="00F41065"/>
    <w:rsid w:val="00F43871"/>
    <w:rsid w:val="00F45C82"/>
    <w:rsid w:val="00F45EA3"/>
    <w:rsid w:val="00F4605F"/>
    <w:rsid w:val="00F465D1"/>
    <w:rsid w:val="00F46892"/>
    <w:rsid w:val="00F5544A"/>
    <w:rsid w:val="00F64629"/>
    <w:rsid w:val="00F64851"/>
    <w:rsid w:val="00F64B44"/>
    <w:rsid w:val="00F64C79"/>
    <w:rsid w:val="00F654AE"/>
    <w:rsid w:val="00F66F96"/>
    <w:rsid w:val="00F732FA"/>
    <w:rsid w:val="00F732FE"/>
    <w:rsid w:val="00F74B5A"/>
    <w:rsid w:val="00F75236"/>
    <w:rsid w:val="00F7564B"/>
    <w:rsid w:val="00F759BE"/>
    <w:rsid w:val="00F82D8A"/>
    <w:rsid w:val="00F83012"/>
    <w:rsid w:val="00F83B41"/>
    <w:rsid w:val="00F86CDF"/>
    <w:rsid w:val="00F94FEF"/>
    <w:rsid w:val="00F9553E"/>
    <w:rsid w:val="00F96AFC"/>
    <w:rsid w:val="00F96E7D"/>
    <w:rsid w:val="00FA14AE"/>
    <w:rsid w:val="00FA30CC"/>
    <w:rsid w:val="00FA3248"/>
    <w:rsid w:val="00FA3484"/>
    <w:rsid w:val="00FA7A3E"/>
    <w:rsid w:val="00FB10BC"/>
    <w:rsid w:val="00FB13BB"/>
    <w:rsid w:val="00FB1DBB"/>
    <w:rsid w:val="00FB2956"/>
    <w:rsid w:val="00FC19B4"/>
    <w:rsid w:val="00FC1F63"/>
    <w:rsid w:val="00FC255F"/>
    <w:rsid w:val="00FC3CA5"/>
    <w:rsid w:val="00FD0E2C"/>
    <w:rsid w:val="00FD2084"/>
    <w:rsid w:val="00FD3FC7"/>
    <w:rsid w:val="00FD43FF"/>
    <w:rsid w:val="00FD7F97"/>
    <w:rsid w:val="00FE4366"/>
    <w:rsid w:val="00FE6637"/>
    <w:rsid w:val="00FE7479"/>
    <w:rsid w:val="00FF0C9B"/>
    <w:rsid w:val="00FF2056"/>
    <w:rsid w:val="010335D6"/>
    <w:rsid w:val="012F2F77"/>
    <w:rsid w:val="01501037"/>
    <w:rsid w:val="01517183"/>
    <w:rsid w:val="01525DF7"/>
    <w:rsid w:val="01565C22"/>
    <w:rsid w:val="01611BAA"/>
    <w:rsid w:val="017B3006"/>
    <w:rsid w:val="01870949"/>
    <w:rsid w:val="018D20F1"/>
    <w:rsid w:val="018F0B45"/>
    <w:rsid w:val="01CA5BE2"/>
    <w:rsid w:val="01EA1096"/>
    <w:rsid w:val="02211C4E"/>
    <w:rsid w:val="02383E9F"/>
    <w:rsid w:val="025F2317"/>
    <w:rsid w:val="02653238"/>
    <w:rsid w:val="02931AEB"/>
    <w:rsid w:val="02AA0989"/>
    <w:rsid w:val="02D7249D"/>
    <w:rsid w:val="02DA36D6"/>
    <w:rsid w:val="02E670D9"/>
    <w:rsid w:val="02ED248B"/>
    <w:rsid w:val="03273204"/>
    <w:rsid w:val="036F2E82"/>
    <w:rsid w:val="037A5862"/>
    <w:rsid w:val="038677FA"/>
    <w:rsid w:val="039D181C"/>
    <w:rsid w:val="03D01A40"/>
    <w:rsid w:val="03D575A8"/>
    <w:rsid w:val="03EC5011"/>
    <w:rsid w:val="040B2908"/>
    <w:rsid w:val="0422003D"/>
    <w:rsid w:val="042745EF"/>
    <w:rsid w:val="04432D8E"/>
    <w:rsid w:val="044A1AEF"/>
    <w:rsid w:val="044B3B1A"/>
    <w:rsid w:val="04557C29"/>
    <w:rsid w:val="04714B20"/>
    <w:rsid w:val="047A076D"/>
    <w:rsid w:val="049B4314"/>
    <w:rsid w:val="04A8061F"/>
    <w:rsid w:val="04D43D04"/>
    <w:rsid w:val="04DA259C"/>
    <w:rsid w:val="04EE0542"/>
    <w:rsid w:val="04F27A0F"/>
    <w:rsid w:val="05296601"/>
    <w:rsid w:val="05404D6F"/>
    <w:rsid w:val="05443172"/>
    <w:rsid w:val="057743B8"/>
    <w:rsid w:val="05917228"/>
    <w:rsid w:val="05B9794F"/>
    <w:rsid w:val="05BA3179"/>
    <w:rsid w:val="05BC690F"/>
    <w:rsid w:val="05CC3FC5"/>
    <w:rsid w:val="05D223F3"/>
    <w:rsid w:val="05ED58F9"/>
    <w:rsid w:val="062A4725"/>
    <w:rsid w:val="06454C9D"/>
    <w:rsid w:val="06471FDD"/>
    <w:rsid w:val="06604730"/>
    <w:rsid w:val="067B1C86"/>
    <w:rsid w:val="06A50AB1"/>
    <w:rsid w:val="06B16D0C"/>
    <w:rsid w:val="06BE7F0F"/>
    <w:rsid w:val="06F461E9"/>
    <w:rsid w:val="06FD2CDD"/>
    <w:rsid w:val="07072223"/>
    <w:rsid w:val="072B18E0"/>
    <w:rsid w:val="07566ECB"/>
    <w:rsid w:val="075D04F8"/>
    <w:rsid w:val="07632CE8"/>
    <w:rsid w:val="076C2950"/>
    <w:rsid w:val="078C6D54"/>
    <w:rsid w:val="07916A2C"/>
    <w:rsid w:val="07AC782C"/>
    <w:rsid w:val="07C43E54"/>
    <w:rsid w:val="07C772C4"/>
    <w:rsid w:val="07D17DB0"/>
    <w:rsid w:val="07D34FDD"/>
    <w:rsid w:val="07E17995"/>
    <w:rsid w:val="081F7ED9"/>
    <w:rsid w:val="08320014"/>
    <w:rsid w:val="084474C2"/>
    <w:rsid w:val="0864596D"/>
    <w:rsid w:val="088075EE"/>
    <w:rsid w:val="089D4D5D"/>
    <w:rsid w:val="08D52012"/>
    <w:rsid w:val="08D746FC"/>
    <w:rsid w:val="08D77379"/>
    <w:rsid w:val="08E54959"/>
    <w:rsid w:val="08EA0B04"/>
    <w:rsid w:val="08FF478F"/>
    <w:rsid w:val="090034AD"/>
    <w:rsid w:val="09061A87"/>
    <w:rsid w:val="093F3C94"/>
    <w:rsid w:val="094B0907"/>
    <w:rsid w:val="09526CCE"/>
    <w:rsid w:val="0987442F"/>
    <w:rsid w:val="099A1FEC"/>
    <w:rsid w:val="099D5D54"/>
    <w:rsid w:val="09F7476D"/>
    <w:rsid w:val="0A002BCE"/>
    <w:rsid w:val="0A037595"/>
    <w:rsid w:val="0A06339F"/>
    <w:rsid w:val="0A1C72DC"/>
    <w:rsid w:val="0A310E93"/>
    <w:rsid w:val="0A4A57B3"/>
    <w:rsid w:val="0A7F6DC4"/>
    <w:rsid w:val="0A8A3706"/>
    <w:rsid w:val="0AAF792C"/>
    <w:rsid w:val="0AB835E9"/>
    <w:rsid w:val="0ABC09EA"/>
    <w:rsid w:val="0AD82E0D"/>
    <w:rsid w:val="0B3120C1"/>
    <w:rsid w:val="0B316DB7"/>
    <w:rsid w:val="0B470389"/>
    <w:rsid w:val="0B5736C0"/>
    <w:rsid w:val="0B701520"/>
    <w:rsid w:val="0B8711F2"/>
    <w:rsid w:val="0B975571"/>
    <w:rsid w:val="0BAC1B19"/>
    <w:rsid w:val="0BE65B1B"/>
    <w:rsid w:val="0BFE2228"/>
    <w:rsid w:val="0C011C21"/>
    <w:rsid w:val="0C09405E"/>
    <w:rsid w:val="0C207271"/>
    <w:rsid w:val="0C4A6383"/>
    <w:rsid w:val="0C4D7C21"/>
    <w:rsid w:val="0C523489"/>
    <w:rsid w:val="0C6154D5"/>
    <w:rsid w:val="0C6311F3"/>
    <w:rsid w:val="0C6342BE"/>
    <w:rsid w:val="0C675A71"/>
    <w:rsid w:val="0C724CD8"/>
    <w:rsid w:val="0CA12913"/>
    <w:rsid w:val="0CBB4733"/>
    <w:rsid w:val="0CCA5BFE"/>
    <w:rsid w:val="0CCD416A"/>
    <w:rsid w:val="0CDC0C2F"/>
    <w:rsid w:val="0D1679F8"/>
    <w:rsid w:val="0D744649"/>
    <w:rsid w:val="0D806B6B"/>
    <w:rsid w:val="0DB4635D"/>
    <w:rsid w:val="0DB96054"/>
    <w:rsid w:val="0DED4BAB"/>
    <w:rsid w:val="0E0250FA"/>
    <w:rsid w:val="0E0E2E78"/>
    <w:rsid w:val="0E1F2747"/>
    <w:rsid w:val="0E3E318E"/>
    <w:rsid w:val="0E411841"/>
    <w:rsid w:val="0E534D9E"/>
    <w:rsid w:val="0E5F482E"/>
    <w:rsid w:val="0E69085A"/>
    <w:rsid w:val="0EB970C7"/>
    <w:rsid w:val="0EC27DF2"/>
    <w:rsid w:val="0ECA34C2"/>
    <w:rsid w:val="0EF34AB0"/>
    <w:rsid w:val="0EFF4DBA"/>
    <w:rsid w:val="0F155567"/>
    <w:rsid w:val="0F246A81"/>
    <w:rsid w:val="0F2E5AE8"/>
    <w:rsid w:val="0F4B35C8"/>
    <w:rsid w:val="0F6E2388"/>
    <w:rsid w:val="0FA32F99"/>
    <w:rsid w:val="0FA57148"/>
    <w:rsid w:val="0FB83A07"/>
    <w:rsid w:val="0FCC2CAE"/>
    <w:rsid w:val="0FD4136B"/>
    <w:rsid w:val="0FD84E81"/>
    <w:rsid w:val="0FE268D2"/>
    <w:rsid w:val="0FEA15F2"/>
    <w:rsid w:val="0FFE378F"/>
    <w:rsid w:val="10012EDA"/>
    <w:rsid w:val="10062FB5"/>
    <w:rsid w:val="100A7570"/>
    <w:rsid w:val="100F7AB1"/>
    <w:rsid w:val="10232677"/>
    <w:rsid w:val="102E4A6F"/>
    <w:rsid w:val="103E3C1B"/>
    <w:rsid w:val="104A2CCD"/>
    <w:rsid w:val="104C1533"/>
    <w:rsid w:val="104F1C49"/>
    <w:rsid w:val="10790D97"/>
    <w:rsid w:val="109E6C6B"/>
    <w:rsid w:val="10CD51A9"/>
    <w:rsid w:val="10D63123"/>
    <w:rsid w:val="1107668A"/>
    <w:rsid w:val="111C7FA6"/>
    <w:rsid w:val="114D2E7D"/>
    <w:rsid w:val="118D3C11"/>
    <w:rsid w:val="11B239D7"/>
    <w:rsid w:val="11CF5422"/>
    <w:rsid w:val="11D03EA1"/>
    <w:rsid w:val="11F121D0"/>
    <w:rsid w:val="121D11D6"/>
    <w:rsid w:val="122C32AE"/>
    <w:rsid w:val="12427A7B"/>
    <w:rsid w:val="12512752"/>
    <w:rsid w:val="12512996"/>
    <w:rsid w:val="129435CA"/>
    <w:rsid w:val="12E82078"/>
    <w:rsid w:val="130A061A"/>
    <w:rsid w:val="137A11F7"/>
    <w:rsid w:val="138945E9"/>
    <w:rsid w:val="13C25F12"/>
    <w:rsid w:val="13DE752A"/>
    <w:rsid w:val="14051B65"/>
    <w:rsid w:val="142121BB"/>
    <w:rsid w:val="144708B7"/>
    <w:rsid w:val="144944EB"/>
    <w:rsid w:val="14BC5944"/>
    <w:rsid w:val="14C352E5"/>
    <w:rsid w:val="14C75043"/>
    <w:rsid w:val="14CE617D"/>
    <w:rsid w:val="14D96BDD"/>
    <w:rsid w:val="14E936B0"/>
    <w:rsid w:val="14EF1B43"/>
    <w:rsid w:val="15065013"/>
    <w:rsid w:val="15110C22"/>
    <w:rsid w:val="151644B9"/>
    <w:rsid w:val="153B74AA"/>
    <w:rsid w:val="153D47A3"/>
    <w:rsid w:val="154A3653"/>
    <w:rsid w:val="155344FA"/>
    <w:rsid w:val="157D3325"/>
    <w:rsid w:val="15820963"/>
    <w:rsid w:val="15827A1A"/>
    <w:rsid w:val="1590137E"/>
    <w:rsid w:val="15945613"/>
    <w:rsid w:val="15950008"/>
    <w:rsid w:val="15AF411B"/>
    <w:rsid w:val="15D83A5E"/>
    <w:rsid w:val="15F42563"/>
    <w:rsid w:val="1603092B"/>
    <w:rsid w:val="160327CE"/>
    <w:rsid w:val="16131200"/>
    <w:rsid w:val="162D6B6C"/>
    <w:rsid w:val="165A5757"/>
    <w:rsid w:val="16672243"/>
    <w:rsid w:val="16731334"/>
    <w:rsid w:val="167D1A17"/>
    <w:rsid w:val="168537E8"/>
    <w:rsid w:val="16882455"/>
    <w:rsid w:val="16883814"/>
    <w:rsid w:val="16895CFA"/>
    <w:rsid w:val="168C2744"/>
    <w:rsid w:val="16A918FF"/>
    <w:rsid w:val="16AC3289"/>
    <w:rsid w:val="16DB3639"/>
    <w:rsid w:val="16F7498E"/>
    <w:rsid w:val="17114644"/>
    <w:rsid w:val="17507D30"/>
    <w:rsid w:val="17871470"/>
    <w:rsid w:val="17A13493"/>
    <w:rsid w:val="17B47DF1"/>
    <w:rsid w:val="17C422E5"/>
    <w:rsid w:val="17D20EF8"/>
    <w:rsid w:val="183202B8"/>
    <w:rsid w:val="18574354"/>
    <w:rsid w:val="18597BDB"/>
    <w:rsid w:val="187A75E9"/>
    <w:rsid w:val="189B3AC2"/>
    <w:rsid w:val="18B5764F"/>
    <w:rsid w:val="18BA2848"/>
    <w:rsid w:val="18D41F97"/>
    <w:rsid w:val="18DF5E7D"/>
    <w:rsid w:val="18EA6F23"/>
    <w:rsid w:val="194039CF"/>
    <w:rsid w:val="19556897"/>
    <w:rsid w:val="19575178"/>
    <w:rsid w:val="195C3750"/>
    <w:rsid w:val="1977008B"/>
    <w:rsid w:val="198253AE"/>
    <w:rsid w:val="19847EBC"/>
    <w:rsid w:val="199C343A"/>
    <w:rsid w:val="19B92850"/>
    <w:rsid w:val="19C107B8"/>
    <w:rsid w:val="19D75A44"/>
    <w:rsid w:val="19E73463"/>
    <w:rsid w:val="19FF69FF"/>
    <w:rsid w:val="1A530AF8"/>
    <w:rsid w:val="1A636953"/>
    <w:rsid w:val="1AA358A4"/>
    <w:rsid w:val="1AB62A15"/>
    <w:rsid w:val="1ABE6083"/>
    <w:rsid w:val="1AE6300C"/>
    <w:rsid w:val="1AEA34F7"/>
    <w:rsid w:val="1AEA3527"/>
    <w:rsid w:val="1AF23756"/>
    <w:rsid w:val="1B530A20"/>
    <w:rsid w:val="1B760482"/>
    <w:rsid w:val="1B795278"/>
    <w:rsid w:val="1BBE0B71"/>
    <w:rsid w:val="1BC6744A"/>
    <w:rsid w:val="1BC83FED"/>
    <w:rsid w:val="1BD2420F"/>
    <w:rsid w:val="1BD404E8"/>
    <w:rsid w:val="1BED7449"/>
    <w:rsid w:val="1C1A76B5"/>
    <w:rsid w:val="1C3426A9"/>
    <w:rsid w:val="1C3A213D"/>
    <w:rsid w:val="1C3C7DD7"/>
    <w:rsid w:val="1C5E4285"/>
    <w:rsid w:val="1C815647"/>
    <w:rsid w:val="1C9364BC"/>
    <w:rsid w:val="1C953CE3"/>
    <w:rsid w:val="1C98646C"/>
    <w:rsid w:val="1CCA43EB"/>
    <w:rsid w:val="1CE835F8"/>
    <w:rsid w:val="1CF20E7A"/>
    <w:rsid w:val="1CF6101B"/>
    <w:rsid w:val="1D03217E"/>
    <w:rsid w:val="1D3C7B7D"/>
    <w:rsid w:val="1DA10035"/>
    <w:rsid w:val="1DD42CF7"/>
    <w:rsid w:val="1DED6D89"/>
    <w:rsid w:val="1E19578F"/>
    <w:rsid w:val="1E505584"/>
    <w:rsid w:val="1E5B2938"/>
    <w:rsid w:val="1E6240CD"/>
    <w:rsid w:val="1E685ACF"/>
    <w:rsid w:val="1E904AB4"/>
    <w:rsid w:val="1EA4214E"/>
    <w:rsid w:val="1EA71166"/>
    <w:rsid w:val="1EBA0184"/>
    <w:rsid w:val="1ED135DB"/>
    <w:rsid w:val="1EEA45CF"/>
    <w:rsid w:val="1F48278E"/>
    <w:rsid w:val="1F4A4B5D"/>
    <w:rsid w:val="1F5C5CAF"/>
    <w:rsid w:val="1F8774DA"/>
    <w:rsid w:val="1F953BEB"/>
    <w:rsid w:val="1F9C084C"/>
    <w:rsid w:val="1FAE468A"/>
    <w:rsid w:val="1FD224BF"/>
    <w:rsid w:val="1FD5034D"/>
    <w:rsid w:val="1FE51107"/>
    <w:rsid w:val="2029085E"/>
    <w:rsid w:val="20322F5E"/>
    <w:rsid w:val="206D12E3"/>
    <w:rsid w:val="207E5971"/>
    <w:rsid w:val="20822FB1"/>
    <w:rsid w:val="20A81439"/>
    <w:rsid w:val="20AC0216"/>
    <w:rsid w:val="20B63250"/>
    <w:rsid w:val="20BB76A2"/>
    <w:rsid w:val="20C92CE4"/>
    <w:rsid w:val="210E23CE"/>
    <w:rsid w:val="211D6F0E"/>
    <w:rsid w:val="213D5766"/>
    <w:rsid w:val="21570452"/>
    <w:rsid w:val="2168555B"/>
    <w:rsid w:val="21C1442B"/>
    <w:rsid w:val="21CB6405"/>
    <w:rsid w:val="21D70C5C"/>
    <w:rsid w:val="21DA72F6"/>
    <w:rsid w:val="21E24DE7"/>
    <w:rsid w:val="22026934"/>
    <w:rsid w:val="2248417F"/>
    <w:rsid w:val="22705AC9"/>
    <w:rsid w:val="227E05AA"/>
    <w:rsid w:val="22813D29"/>
    <w:rsid w:val="22970A3C"/>
    <w:rsid w:val="229D3A7C"/>
    <w:rsid w:val="229E5E90"/>
    <w:rsid w:val="230171C7"/>
    <w:rsid w:val="231860A1"/>
    <w:rsid w:val="23361A2E"/>
    <w:rsid w:val="23700B5B"/>
    <w:rsid w:val="2372448D"/>
    <w:rsid w:val="23777F4D"/>
    <w:rsid w:val="23A3664D"/>
    <w:rsid w:val="23A55991"/>
    <w:rsid w:val="23C605E7"/>
    <w:rsid w:val="23CD569C"/>
    <w:rsid w:val="23DD098C"/>
    <w:rsid w:val="23F5677C"/>
    <w:rsid w:val="24385024"/>
    <w:rsid w:val="243B2188"/>
    <w:rsid w:val="245A1939"/>
    <w:rsid w:val="24685852"/>
    <w:rsid w:val="249B013A"/>
    <w:rsid w:val="24AA7567"/>
    <w:rsid w:val="24BA024F"/>
    <w:rsid w:val="24BF3E14"/>
    <w:rsid w:val="24D86BE1"/>
    <w:rsid w:val="253A7CA2"/>
    <w:rsid w:val="253B1825"/>
    <w:rsid w:val="257727C8"/>
    <w:rsid w:val="25853B30"/>
    <w:rsid w:val="25873EAF"/>
    <w:rsid w:val="25A65432"/>
    <w:rsid w:val="25E47F17"/>
    <w:rsid w:val="25E66CC5"/>
    <w:rsid w:val="25EF4DF7"/>
    <w:rsid w:val="26006E2F"/>
    <w:rsid w:val="261B2594"/>
    <w:rsid w:val="26236654"/>
    <w:rsid w:val="262A4E03"/>
    <w:rsid w:val="26317B80"/>
    <w:rsid w:val="26543F31"/>
    <w:rsid w:val="265826D1"/>
    <w:rsid w:val="265D7EFE"/>
    <w:rsid w:val="26891282"/>
    <w:rsid w:val="268D3CB1"/>
    <w:rsid w:val="268E4002"/>
    <w:rsid w:val="26965B6B"/>
    <w:rsid w:val="26A10B5B"/>
    <w:rsid w:val="26A33483"/>
    <w:rsid w:val="26AB4FD0"/>
    <w:rsid w:val="27181100"/>
    <w:rsid w:val="2727432F"/>
    <w:rsid w:val="273656BF"/>
    <w:rsid w:val="273F1B1B"/>
    <w:rsid w:val="276E1D43"/>
    <w:rsid w:val="279F054C"/>
    <w:rsid w:val="27C052F3"/>
    <w:rsid w:val="27E73BA4"/>
    <w:rsid w:val="27F36D87"/>
    <w:rsid w:val="27FC3592"/>
    <w:rsid w:val="28083684"/>
    <w:rsid w:val="28215D92"/>
    <w:rsid w:val="287E7312"/>
    <w:rsid w:val="2886361F"/>
    <w:rsid w:val="28DB79F6"/>
    <w:rsid w:val="29247617"/>
    <w:rsid w:val="296B791D"/>
    <w:rsid w:val="296C68FD"/>
    <w:rsid w:val="29C0782D"/>
    <w:rsid w:val="29EE6164"/>
    <w:rsid w:val="29FE6CE6"/>
    <w:rsid w:val="2A2A04E8"/>
    <w:rsid w:val="2A5C57A7"/>
    <w:rsid w:val="2A605D91"/>
    <w:rsid w:val="2A6D277C"/>
    <w:rsid w:val="2A755C89"/>
    <w:rsid w:val="2A7627D7"/>
    <w:rsid w:val="2AB1014D"/>
    <w:rsid w:val="2ADF222D"/>
    <w:rsid w:val="2AE00E92"/>
    <w:rsid w:val="2B0B55F7"/>
    <w:rsid w:val="2B137D0D"/>
    <w:rsid w:val="2B5E540C"/>
    <w:rsid w:val="2B760E9B"/>
    <w:rsid w:val="2B7702AD"/>
    <w:rsid w:val="2B772F8F"/>
    <w:rsid w:val="2B9D7E25"/>
    <w:rsid w:val="2BA46A71"/>
    <w:rsid w:val="2BF51DA7"/>
    <w:rsid w:val="2C0B7581"/>
    <w:rsid w:val="2C1520B2"/>
    <w:rsid w:val="2C197BFF"/>
    <w:rsid w:val="2C1B05EA"/>
    <w:rsid w:val="2C3F3942"/>
    <w:rsid w:val="2C536297"/>
    <w:rsid w:val="2C583DE3"/>
    <w:rsid w:val="2CB33227"/>
    <w:rsid w:val="2CF41CC7"/>
    <w:rsid w:val="2D0A688F"/>
    <w:rsid w:val="2D4F31C1"/>
    <w:rsid w:val="2D6A7A16"/>
    <w:rsid w:val="2D6D20C4"/>
    <w:rsid w:val="2D962D7E"/>
    <w:rsid w:val="2DD9223B"/>
    <w:rsid w:val="2DDA1983"/>
    <w:rsid w:val="2E071A24"/>
    <w:rsid w:val="2E08508E"/>
    <w:rsid w:val="2E596789"/>
    <w:rsid w:val="2E702310"/>
    <w:rsid w:val="2E950595"/>
    <w:rsid w:val="2ED578D6"/>
    <w:rsid w:val="2ED7364E"/>
    <w:rsid w:val="2EDC14F2"/>
    <w:rsid w:val="2EEA7A7B"/>
    <w:rsid w:val="2F20083B"/>
    <w:rsid w:val="2F260D0F"/>
    <w:rsid w:val="2F8F24F9"/>
    <w:rsid w:val="2F910EDF"/>
    <w:rsid w:val="2F9175E8"/>
    <w:rsid w:val="2FA61A42"/>
    <w:rsid w:val="2FC70332"/>
    <w:rsid w:val="2FEF2C1A"/>
    <w:rsid w:val="2FF61581"/>
    <w:rsid w:val="300F506A"/>
    <w:rsid w:val="305B3861"/>
    <w:rsid w:val="307D7351"/>
    <w:rsid w:val="309A105C"/>
    <w:rsid w:val="309F63EE"/>
    <w:rsid w:val="30AB1817"/>
    <w:rsid w:val="30BC0716"/>
    <w:rsid w:val="30CE3B00"/>
    <w:rsid w:val="30E263F2"/>
    <w:rsid w:val="30ED00E0"/>
    <w:rsid w:val="30F07338"/>
    <w:rsid w:val="30F40A40"/>
    <w:rsid w:val="310D03E7"/>
    <w:rsid w:val="314305AC"/>
    <w:rsid w:val="31490A9E"/>
    <w:rsid w:val="317D37D3"/>
    <w:rsid w:val="31B62CD5"/>
    <w:rsid w:val="31BD08C4"/>
    <w:rsid w:val="31BE4461"/>
    <w:rsid w:val="31D673B3"/>
    <w:rsid w:val="31E438CE"/>
    <w:rsid w:val="31F92D57"/>
    <w:rsid w:val="321B1187"/>
    <w:rsid w:val="32317FC6"/>
    <w:rsid w:val="32383CED"/>
    <w:rsid w:val="323C6729"/>
    <w:rsid w:val="32531705"/>
    <w:rsid w:val="32750AE3"/>
    <w:rsid w:val="327B5093"/>
    <w:rsid w:val="3291709C"/>
    <w:rsid w:val="329C6FD5"/>
    <w:rsid w:val="329F3940"/>
    <w:rsid w:val="32A64964"/>
    <w:rsid w:val="32D839D4"/>
    <w:rsid w:val="32F866CB"/>
    <w:rsid w:val="334E1BEE"/>
    <w:rsid w:val="33696F02"/>
    <w:rsid w:val="33754746"/>
    <w:rsid w:val="33887944"/>
    <w:rsid w:val="33960096"/>
    <w:rsid w:val="339D5FB4"/>
    <w:rsid w:val="33A55987"/>
    <w:rsid w:val="33A723EF"/>
    <w:rsid w:val="33AC4531"/>
    <w:rsid w:val="33B72FA9"/>
    <w:rsid w:val="33BD7BCA"/>
    <w:rsid w:val="33CF0542"/>
    <w:rsid w:val="33D72DA9"/>
    <w:rsid w:val="33D87069"/>
    <w:rsid w:val="340547BA"/>
    <w:rsid w:val="3417273F"/>
    <w:rsid w:val="342438B0"/>
    <w:rsid w:val="3445105A"/>
    <w:rsid w:val="345F1E0A"/>
    <w:rsid w:val="34990504"/>
    <w:rsid w:val="34DE5496"/>
    <w:rsid w:val="34EF67B7"/>
    <w:rsid w:val="351725FC"/>
    <w:rsid w:val="3546508A"/>
    <w:rsid w:val="35476753"/>
    <w:rsid w:val="35840971"/>
    <w:rsid w:val="35872E0B"/>
    <w:rsid w:val="35BC76F1"/>
    <w:rsid w:val="35C74993"/>
    <w:rsid w:val="35E9336F"/>
    <w:rsid w:val="35E94755"/>
    <w:rsid w:val="36164015"/>
    <w:rsid w:val="36462271"/>
    <w:rsid w:val="364B2DA4"/>
    <w:rsid w:val="36541A28"/>
    <w:rsid w:val="3658393A"/>
    <w:rsid w:val="36633F72"/>
    <w:rsid w:val="36706C6B"/>
    <w:rsid w:val="367C15FD"/>
    <w:rsid w:val="3691778A"/>
    <w:rsid w:val="36A036D2"/>
    <w:rsid w:val="36B551CB"/>
    <w:rsid w:val="36C22E36"/>
    <w:rsid w:val="36DF1384"/>
    <w:rsid w:val="36E71036"/>
    <w:rsid w:val="37144A90"/>
    <w:rsid w:val="37213AEB"/>
    <w:rsid w:val="37276FA3"/>
    <w:rsid w:val="374E5E70"/>
    <w:rsid w:val="37610BA9"/>
    <w:rsid w:val="37642C74"/>
    <w:rsid w:val="378F5AE7"/>
    <w:rsid w:val="37C1695C"/>
    <w:rsid w:val="37D1691E"/>
    <w:rsid w:val="37D74481"/>
    <w:rsid w:val="381F2470"/>
    <w:rsid w:val="382B4DA6"/>
    <w:rsid w:val="384B36EA"/>
    <w:rsid w:val="38933BEB"/>
    <w:rsid w:val="38AA188B"/>
    <w:rsid w:val="38E2640A"/>
    <w:rsid w:val="38E50B8A"/>
    <w:rsid w:val="38EC2F9C"/>
    <w:rsid w:val="391605DF"/>
    <w:rsid w:val="392B3C05"/>
    <w:rsid w:val="392F3F27"/>
    <w:rsid w:val="394A5D5A"/>
    <w:rsid w:val="396131F9"/>
    <w:rsid w:val="39784971"/>
    <w:rsid w:val="399B34CA"/>
    <w:rsid w:val="39A86FCC"/>
    <w:rsid w:val="39BE0986"/>
    <w:rsid w:val="39F87742"/>
    <w:rsid w:val="3A046F34"/>
    <w:rsid w:val="3A070207"/>
    <w:rsid w:val="3A1D10DB"/>
    <w:rsid w:val="3A227E53"/>
    <w:rsid w:val="3A4D1742"/>
    <w:rsid w:val="3A7129B2"/>
    <w:rsid w:val="3A88060B"/>
    <w:rsid w:val="3A910A66"/>
    <w:rsid w:val="3AA47D73"/>
    <w:rsid w:val="3AB95B5C"/>
    <w:rsid w:val="3B031A8B"/>
    <w:rsid w:val="3B1F144B"/>
    <w:rsid w:val="3B283FEC"/>
    <w:rsid w:val="3B846744"/>
    <w:rsid w:val="3BBA7AA0"/>
    <w:rsid w:val="3BCB5D64"/>
    <w:rsid w:val="3C3F0A85"/>
    <w:rsid w:val="3C572B8C"/>
    <w:rsid w:val="3C78579D"/>
    <w:rsid w:val="3C88601A"/>
    <w:rsid w:val="3C9D0DDD"/>
    <w:rsid w:val="3CAB5632"/>
    <w:rsid w:val="3CFE2819"/>
    <w:rsid w:val="3D0555C3"/>
    <w:rsid w:val="3D1D02FD"/>
    <w:rsid w:val="3D1F64D0"/>
    <w:rsid w:val="3D217C5D"/>
    <w:rsid w:val="3D63107D"/>
    <w:rsid w:val="3D687929"/>
    <w:rsid w:val="3D6B1926"/>
    <w:rsid w:val="3D7930AB"/>
    <w:rsid w:val="3D866632"/>
    <w:rsid w:val="3D9F14AA"/>
    <w:rsid w:val="3DBC20CC"/>
    <w:rsid w:val="3DC00139"/>
    <w:rsid w:val="3DCD07E7"/>
    <w:rsid w:val="3DD77846"/>
    <w:rsid w:val="3DE93A0C"/>
    <w:rsid w:val="3DF24D3E"/>
    <w:rsid w:val="3E2339ED"/>
    <w:rsid w:val="3E272906"/>
    <w:rsid w:val="3E2854FE"/>
    <w:rsid w:val="3E693B97"/>
    <w:rsid w:val="3E8E4C0B"/>
    <w:rsid w:val="3E930C4B"/>
    <w:rsid w:val="3EAA780E"/>
    <w:rsid w:val="3ED7171A"/>
    <w:rsid w:val="3EEC24B6"/>
    <w:rsid w:val="3EEC4ADA"/>
    <w:rsid w:val="3EED604C"/>
    <w:rsid w:val="3F232016"/>
    <w:rsid w:val="3F584337"/>
    <w:rsid w:val="3F5B3839"/>
    <w:rsid w:val="3F96431B"/>
    <w:rsid w:val="3FB9006E"/>
    <w:rsid w:val="3FBC6F93"/>
    <w:rsid w:val="3FD92941"/>
    <w:rsid w:val="3FE41F59"/>
    <w:rsid w:val="3FE435AE"/>
    <w:rsid w:val="4012098A"/>
    <w:rsid w:val="401956FE"/>
    <w:rsid w:val="401C6034"/>
    <w:rsid w:val="40302BBE"/>
    <w:rsid w:val="40383C6D"/>
    <w:rsid w:val="403E6743"/>
    <w:rsid w:val="404D4E53"/>
    <w:rsid w:val="405467B0"/>
    <w:rsid w:val="406B6741"/>
    <w:rsid w:val="40B173FC"/>
    <w:rsid w:val="40E60AF5"/>
    <w:rsid w:val="41131F0E"/>
    <w:rsid w:val="412C42E3"/>
    <w:rsid w:val="41315BCB"/>
    <w:rsid w:val="413E077E"/>
    <w:rsid w:val="413E2516"/>
    <w:rsid w:val="413E7206"/>
    <w:rsid w:val="41526B64"/>
    <w:rsid w:val="415408AF"/>
    <w:rsid w:val="418D477D"/>
    <w:rsid w:val="41941FB2"/>
    <w:rsid w:val="419C1119"/>
    <w:rsid w:val="41A466D4"/>
    <w:rsid w:val="41BF18FF"/>
    <w:rsid w:val="41D0216B"/>
    <w:rsid w:val="41D05F2A"/>
    <w:rsid w:val="41D260B0"/>
    <w:rsid w:val="41DF2AEE"/>
    <w:rsid w:val="41EB22F0"/>
    <w:rsid w:val="41F16372"/>
    <w:rsid w:val="425443A6"/>
    <w:rsid w:val="428E6BF6"/>
    <w:rsid w:val="429A2D81"/>
    <w:rsid w:val="42A0584D"/>
    <w:rsid w:val="42AD5DD5"/>
    <w:rsid w:val="42C0542C"/>
    <w:rsid w:val="42CF332F"/>
    <w:rsid w:val="42D74299"/>
    <w:rsid w:val="42DB1912"/>
    <w:rsid w:val="42FA4E56"/>
    <w:rsid w:val="430A67B2"/>
    <w:rsid w:val="43307FD5"/>
    <w:rsid w:val="43776238"/>
    <w:rsid w:val="43A37B4B"/>
    <w:rsid w:val="43B34232"/>
    <w:rsid w:val="43BD1E38"/>
    <w:rsid w:val="43C229E7"/>
    <w:rsid w:val="43D74A64"/>
    <w:rsid w:val="43F96496"/>
    <w:rsid w:val="44097B70"/>
    <w:rsid w:val="440A3494"/>
    <w:rsid w:val="44131375"/>
    <w:rsid w:val="44137D6C"/>
    <w:rsid w:val="443D58AA"/>
    <w:rsid w:val="444D7638"/>
    <w:rsid w:val="449A0591"/>
    <w:rsid w:val="44AA1850"/>
    <w:rsid w:val="44B622A2"/>
    <w:rsid w:val="44B7402B"/>
    <w:rsid w:val="44D63A4C"/>
    <w:rsid w:val="44D6686D"/>
    <w:rsid w:val="44D84EAA"/>
    <w:rsid w:val="44E224C4"/>
    <w:rsid w:val="44F56185"/>
    <w:rsid w:val="451717E7"/>
    <w:rsid w:val="453A4766"/>
    <w:rsid w:val="45473ED0"/>
    <w:rsid w:val="456F4189"/>
    <w:rsid w:val="458D320D"/>
    <w:rsid w:val="45A53C18"/>
    <w:rsid w:val="45A92AE9"/>
    <w:rsid w:val="45AB2CE7"/>
    <w:rsid w:val="45B302B2"/>
    <w:rsid w:val="45C4018F"/>
    <w:rsid w:val="45C4165F"/>
    <w:rsid w:val="45E90269"/>
    <w:rsid w:val="45ED5768"/>
    <w:rsid w:val="45F425E7"/>
    <w:rsid w:val="45F50FF1"/>
    <w:rsid w:val="460033FC"/>
    <w:rsid w:val="460B49D8"/>
    <w:rsid w:val="46141297"/>
    <w:rsid w:val="46511C19"/>
    <w:rsid w:val="468D22E4"/>
    <w:rsid w:val="46DB213C"/>
    <w:rsid w:val="46DE502F"/>
    <w:rsid w:val="46FB4742"/>
    <w:rsid w:val="471E6065"/>
    <w:rsid w:val="4731017A"/>
    <w:rsid w:val="473877D7"/>
    <w:rsid w:val="4769594C"/>
    <w:rsid w:val="477B54F3"/>
    <w:rsid w:val="479E0047"/>
    <w:rsid w:val="47D22EC0"/>
    <w:rsid w:val="47E9037F"/>
    <w:rsid w:val="47F55EB8"/>
    <w:rsid w:val="47FA3EB9"/>
    <w:rsid w:val="4800307B"/>
    <w:rsid w:val="481E4CB4"/>
    <w:rsid w:val="48334444"/>
    <w:rsid w:val="48371C93"/>
    <w:rsid w:val="48477408"/>
    <w:rsid w:val="48696162"/>
    <w:rsid w:val="48751C6C"/>
    <w:rsid w:val="487F7AA7"/>
    <w:rsid w:val="48807F55"/>
    <w:rsid w:val="48B4245B"/>
    <w:rsid w:val="48BB4987"/>
    <w:rsid w:val="48C334C9"/>
    <w:rsid w:val="48E10593"/>
    <w:rsid w:val="491F12FE"/>
    <w:rsid w:val="494B3205"/>
    <w:rsid w:val="49736D23"/>
    <w:rsid w:val="499316ED"/>
    <w:rsid w:val="4994176F"/>
    <w:rsid w:val="49980F95"/>
    <w:rsid w:val="49B75E69"/>
    <w:rsid w:val="49CE7709"/>
    <w:rsid w:val="49EE30EB"/>
    <w:rsid w:val="49F7299F"/>
    <w:rsid w:val="4A037596"/>
    <w:rsid w:val="4A0A6F19"/>
    <w:rsid w:val="4A18671C"/>
    <w:rsid w:val="4A212482"/>
    <w:rsid w:val="4A45370A"/>
    <w:rsid w:val="4A475EC8"/>
    <w:rsid w:val="4A4E1191"/>
    <w:rsid w:val="4A604943"/>
    <w:rsid w:val="4A6829B9"/>
    <w:rsid w:val="4A930919"/>
    <w:rsid w:val="4A950F48"/>
    <w:rsid w:val="4AC179AA"/>
    <w:rsid w:val="4ADF3B5F"/>
    <w:rsid w:val="4AFC7CAA"/>
    <w:rsid w:val="4B087C07"/>
    <w:rsid w:val="4B1E5A87"/>
    <w:rsid w:val="4B20406F"/>
    <w:rsid w:val="4B3C20C0"/>
    <w:rsid w:val="4B3F21E1"/>
    <w:rsid w:val="4B782882"/>
    <w:rsid w:val="4B8C62F2"/>
    <w:rsid w:val="4B9161A2"/>
    <w:rsid w:val="4BC32E8B"/>
    <w:rsid w:val="4BDE6F3E"/>
    <w:rsid w:val="4BEF3960"/>
    <w:rsid w:val="4BFE4927"/>
    <w:rsid w:val="4C1E3410"/>
    <w:rsid w:val="4C3B73BA"/>
    <w:rsid w:val="4C4023DB"/>
    <w:rsid w:val="4C837CD9"/>
    <w:rsid w:val="4C9D58E8"/>
    <w:rsid w:val="4CC41BF1"/>
    <w:rsid w:val="4CD45FF1"/>
    <w:rsid w:val="4D05388B"/>
    <w:rsid w:val="4D207734"/>
    <w:rsid w:val="4D326925"/>
    <w:rsid w:val="4D447DC8"/>
    <w:rsid w:val="4D5E286A"/>
    <w:rsid w:val="4D6E5993"/>
    <w:rsid w:val="4D7308F4"/>
    <w:rsid w:val="4D770E29"/>
    <w:rsid w:val="4D7C4A57"/>
    <w:rsid w:val="4D8B58D8"/>
    <w:rsid w:val="4D9A0143"/>
    <w:rsid w:val="4DA143D6"/>
    <w:rsid w:val="4DAF2767"/>
    <w:rsid w:val="4DBD2688"/>
    <w:rsid w:val="4DCE44B3"/>
    <w:rsid w:val="4E10353E"/>
    <w:rsid w:val="4E514831"/>
    <w:rsid w:val="4E536E1A"/>
    <w:rsid w:val="4E845229"/>
    <w:rsid w:val="4E8A5B90"/>
    <w:rsid w:val="4EB145FF"/>
    <w:rsid w:val="4EE54AB1"/>
    <w:rsid w:val="4EF6642F"/>
    <w:rsid w:val="4EF974AF"/>
    <w:rsid w:val="4F030121"/>
    <w:rsid w:val="4F17114B"/>
    <w:rsid w:val="4F251D5C"/>
    <w:rsid w:val="4F3873D7"/>
    <w:rsid w:val="4F3914F9"/>
    <w:rsid w:val="4F4F4273"/>
    <w:rsid w:val="4F562C8B"/>
    <w:rsid w:val="4F5935EA"/>
    <w:rsid w:val="4F5E487B"/>
    <w:rsid w:val="4F606696"/>
    <w:rsid w:val="4FC012DD"/>
    <w:rsid w:val="4FCC3F86"/>
    <w:rsid w:val="4FD36DE1"/>
    <w:rsid w:val="4FD763BF"/>
    <w:rsid w:val="4FE30F92"/>
    <w:rsid w:val="4FF02396"/>
    <w:rsid w:val="4FF32C01"/>
    <w:rsid w:val="50076965"/>
    <w:rsid w:val="50086052"/>
    <w:rsid w:val="5020544B"/>
    <w:rsid w:val="5028084F"/>
    <w:rsid w:val="50353FF7"/>
    <w:rsid w:val="505C1372"/>
    <w:rsid w:val="50645C28"/>
    <w:rsid w:val="507349E0"/>
    <w:rsid w:val="50AB4BA0"/>
    <w:rsid w:val="50E15A49"/>
    <w:rsid w:val="50EF6982"/>
    <w:rsid w:val="51004263"/>
    <w:rsid w:val="510F357C"/>
    <w:rsid w:val="51187790"/>
    <w:rsid w:val="51255EF6"/>
    <w:rsid w:val="51586419"/>
    <w:rsid w:val="517260A6"/>
    <w:rsid w:val="51870AAC"/>
    <w:rsid w:val="51923B25"/>
    <w:rsid w:val="51AD6407"/>
    <w:rsid w:val="51C46ACD"/>
    <w:rsid w:val="51CB3294"/>
    <w:rsid w:val="51DD2A22"/>
    <w:rsid w:val="51E363E7"/>
    <w:rsid w:val="51E932EE"/>
    <w:rsid w:val="51F15A57"/>
    <w:rsid w:val="51FB2BBD"/>
    <w:rsid w:val="520812A2"/>
    <w:rsid w:val="521354A9"/>
    <w:rsid w:val="52236F65"/>
    <w:rsid w:val="522E2CD6"/>
    <w:rsid w:val="52395F57"/>
    <w:rsid w:val="52425DED"/>
    <w:rsid w:val="524F15CA"/>
    <w:rsid w:val="525208F5"/>
    <w:rsid w:val="52651470"/>
    <w:rsid w:val="526B7241"/>
    <w:rsid w:val="52714988"/>
    <w:rsid w:val="52842FF2"/>
    <w:rsid w:val="529A5CE2"/>
    <w:rsid w:val="529A6799"/>
    <w:rsid w:val="52A47108"/>
    <w:rsid w:val="52B232FA"/>
    <w:rsid w:val="52C205DF"/>
    <w:rsid w:val="52C3550F"/>
    <w:rsid w:val="52DD285A"/>
    <w:rsid w:val="531C16EE"/>
    <w:rsid w:val="533E6A67"/>
    <w:rsid w:val="53423854"/>
    <w:rsid w:val="5361540C"/>
    <w:rsid w:val="536957E5"/>
    <w:rsid w:val="537F7EC1"/>
    <w:rsid w:val="53921B4B"/>
    <w:rsid w:val="541A0A54"/>
    <w:rsid w:val="543F2BCC"/>
    <w:rsid w:val="549C6884"/>
    <w:rsid w:val="54AA5B34"/>
    <w:rsid w:val="54B07BD6"/>
    <w:rsid w:val="54B75DFE"/>
    <w:rsid w:val="54C70404"/>
    <w:rsid w:val="54D87D90"/>
    <w:rsid w:val="55065A58"/>
    <w:rsid w:val="551A6815"/>
    <w:rsid w:val="552759A2"/>
    <w:rsid w:val="55373536"/>
    <w:rsid w:val="553C08D4"/>
    <w:rsid w:val="553C3115"/>
    <w:rsid w:val="555143A3"/>
    <w:rsid w:val="555327E4"/>
    <w:rsid w:val="557B7EB4"/>
    <w:rsid w:val="558278B3"/>
    <w:rsid w:val="55A15121"/>
    <w:rsid w:val="55A87F5B"/>
    <w:rsid w:val="55A93EB8"/>
    <w:rsid w:val="55C21D86"/>
    <w:rsid w:val="55C2742F"/>
    <w:rsid w:val="55FE1359"/>
    <w:rsid w:val="561627BC"/>
    <w:rsid w:val="563B5EA3"/>
    <w:rsid w:val="56A77310"/>
    <w:rsid w:val="56AE2637"/>
    <w:rsid w:val="56BB02E2"/>
    <w:rsid w:val="56FD5C2F"/>
    <w:rsid w:val="57001016"/>
    <w:rsid w:val="57093FD0"/>
    <w:rsid w:val="571402EA"/>
    <w:rsid w:val="57184A82"/>
    <w:rsid w:val="57356982"/>
    <w:rsid w:val="574044F1"/>
    <w:rsid w:val="575713FA"/>
    <w:rsid w:val="57647A76"/>
    <w:rsid w:val="577473DD"/>
    <w:rsid w:val="579F723E"/>
    <w:rsid w:val="57A8069D"/>
    <w:rsid w:val="57D50EF4"/>
    <w:rsid w:val="57D8079E"/>
    <w:rsid w:val="57E31245"/>
    <w:rsid w:val="57EA7A84"/>
    <w:rsid w:val="58176004"/>
    <w:rsid w:val="581B7EC4"/>
    <w:rsid w:val="581D1CED"/>
    <w:rsid w:val="58262F39"/>
    <w:rsid w:val="583B1233"/>
    <w:rsid w:val="583F4042"/>
    <w:rsid w:val="58492D99"/>
    <w:rsid w:val="58581D76"/>
    <w:rsid w:val="586125A2"/>
    <w:rsid w:val="586C7EDA"/>
    <w:rsid w:val="58BE5881"/>
    <w:rsid w:val="58E53263"/>
    <w:rsid w:val="591B0524"/>
    <w:rsid w:val="59253E33"/>
    <w:rsid w:val="596A0FB5"/>
    <w:rsid w:val="596E3BBE"/>
    <w:rsid w:val="599B4DEC"/>
    <w:rsid w:val="59CA1139"/>
    <w:rsid w:val="59EC2C81"/>
    <w:rsid w:val="5A100BCB"/>
    <w:rsid w:val="5A127B0B"/>
    <w:rsid w:val="5A3B2598"/>
    <w:rsid w:val="5A4C647C"/>
    <w:rsid w:val="5AA9066C"/>
    <w:rsid w:val="5AAE2C06"/>
    <w:rsid w:val="5AB8064D"/>
    <w:rsid w:val="5ABC0B05"/>
    <w:rsid w:val="5AD7585E"/>
    <w:rsid w:val="5ADC5EEA"/>
    <w:rsid w:val="5AE979AC"/>
    <w:rsid w:val="5B0F646A"/>
    <w:rsid w:val="5B2630E4"/>
    <w:rsid w:val="5B263B1F"/>
    <w:rsid w:val="5B5437AD"/>
    <w:rsid w:val="5B57504B"/>
    <w:rsid w:val="5B75516D"/>
    <w:rsid w:val="5B863B83"/>
    <w:rsid w:val="5B865931"/>
    <w:rsid w:val="5B87687D"/>
    <w:rsid w:val="5B9B434E"/>
    <w:rsid w:val="5BAA7D66"/>
    <w:rsid w:val="5C0765D5"/>
    <w:rsid w:val="5C23564A"/>
    <w:rsid w:val="5C325612"/>
    <w:rsid w:val="5C402A71"/>
    <w:rsid w:val="5C4B69FB"/>
    <w:rsid w:val="5C544D15"/>
    <w:rsid w:val="5C561E2D"/>
    <w:rsid w:val="5C6B36B7"/>
    <w:rsid w:val="5C7065B8"/>
    <w:rsid w:val="5C7E28EF"/>
    <w:rsid w:val="5C8856FD"/>
    <w:rsid w:val="5C8E01AF"/>
    <w:rsid w:val="5C9B5DFC"/>
    <w:rsid w:val="5C9D0F14"/>
    <w:rsid w:val="5CB912E2"/>
    <w:rsid w:val="5CBA331D"/>
    <w:rsid w:val="5CBB535B"/>
    <w:rsid w:val="5D2840F8"/>
    <w:rsid w:val="5D442B75"/>
    <w:rsid w:val="5D4C7CEA"/>
    <w:rsid w:val="5DA80973"/>
    <w:rsid w:val="5DA86032"/>
    <w:rsid w:val="5DBB3F2C"/>
    <w:rsid w:val="5E227F34"/>
    <w:rsid w:val="5E26772E"/>
    <w:rsid w:val="5E2B1CB9"/>
    <w:rsid w:val="5E2D3220"/>
    <w:rsid w:val="5E3A31F6"/>
    <w:rsid w:val="5E3E14F8"/>
    <w:rsid w:val="5E47584B"/>
    <w:rsid w:val="5E600B16"/>
    <w:rsid w:val="5E607CEA"/>
    <w:rsid w:val="5E623282"/>
    <w:rsid w:val="5EC83DF7"/>
    <w:rsid w:val="5EE674E7"/>
    <w:rsid w:val="5F2941B9"/>
    <w:rsid w:val="5F395586"/>
    <w:rsid w:val="5F3F0848"/>
    <w:rsid w:val="5F570624"/>
    <w:rsid w:val="5F63712A"/>
    <w:rsid w:val="5F71024A"/>
    <w:rsid w:val="5F8360F3"/>
    <w:rsid w:val="5FC26292"/>
    <w:rsid w:val="5FE44AC2"/>
    <w:rsid w:val="600768E6"/>
    <w:rsid w:val="605B79E8"/>
    <w:rsid w:val="60A32C97"/>
    <w:rsid w:val="60B823D7"/>
    <w:rsid w:val="611D277C"/>
    <w:rsid w:val="61244D59"/>
    <w:rsid w:val="612B0B75"/>
    <w:rsid w:val="612D3000"/>
    <w:rsid w:val="61431FB6"/>
    <w:rsid w:val="6163799B"/>
    <w:rsid w:val="61662CF9"/>
    <w:rsid w:val="61695482"/>
    <w:rsid w:val="618B0DBE"/>
    <w:rsid w:val="61A94272"/>
    <w:rsid w:val="61C00D8D"/>
    <w:rsid w:val="61D95824"/>
    <w:rsid w:val="61E9197F"/>
    <w:rsid w:val="61EA4E6B"/>
    <w:rsid w:val="62187039"/>
    <w:rsid w:val="623844DB"/>
    <w:rsid w:val="623C35BE"/>
    <w:rsid w:val="62603516"/>
    <w:rsid w:val="62764951"/>
    <w:rsid w:val="62856BEA"/>
    <w:rsid w:val="629A14BA"/>
    <w:rsid w:val="629F1B17"/>
    <w:rsid w:val="62DE368B"/>
    <w:rsid w:val="62E13034"/>
    <w:rsid w:val="62E766E3"/>
    <w:rsid w:val="62EA2C49"/>
    <w:rsid w:val="62F404FE"/>
    <w:rsid w:val="632173C1"/>
    <w:rsid w:val="63286A32"/>
    <w:rsid w:val="63333414"/>
    <w:rsid w:val="63385A8F"/>
    <w:rsid w:val="63465BD5"/>
    <w:rsid w:val="63540CA5"/>
    <w:rsid w:val="6376056B"/>
    <w:rsid w:val="6386100E"/>
    <w:rsid w:val="63CB56E5"/>
    <w:rsid w:val="63FB36E9"/>
    <w:rsid w:val="63FF2BD6"/>
    <w:rsid w:val="64144421"/>
    <w:rsid w:val="64163F90"/>
    <w:rsid w:val="64263027"/>
    <w:rsid w:val="6444611F"/>
    <w:rsid w:val="644A3369"/>
    <w:rsid w:val="64E821E9"/>
    <w:rsid w:val="64EE5926"/>
    <w:rsid w:val="64EF13DA"/>
    <w:rsid w:val="64F4666B"/>
    <w:rsid w:val="64F53B99"/>
    <w:rsid w:val="652B54CB"/>
    <w:rsid w:val="654024ED"/>
    <w:rsid w:val="65847385"/>
    <w:rsid w:val="658506E8"/>
    <w:rsid w:val="6591787A"/>
    <w:rsid w:val="659603B5"/>
    <w:rsid w:val="65B37992"/>
    <w:rsid w:val="65BC3D28"/>
    <w:rsid w:val="65CF60AB"/>
    <w:rsid w:val="65EF5D81"/>
    <w:rsid w:val="65F84EB3"/>
    <w:rsid w:val="65FC6F1B"/>
    <w:rsid w:val="6609575A"/>
    <w:rsid w:val="66154481"/>
    <w:rsid w:val="6650578C"/>
    <w:rsid w:val="665232B2"/>
    <w:rsid w:val="66721D21"/>
    <w:rsid w:val="667F2709"/>
    <w:rsid w:val="66C52095"/>
    <w:rsid w:val="66C7085F"/>
    <w:rsid w:val="66DC1C15"/>
    <w:rsid w:val="66F45E44"/>
    <w:rsid w:val="66F54AEB"/>
    <w:rsid w:val="66FA028A"/>
    <w:rsid w:val="677376B1"/>
    <w:rsid w:val="67756BBD"/>
    <w:rsid w:val="678E0047"/>
    <w:rsid w:val="679D6720"/>
    <w:rsid w:val="67A755AC"/>
    <w:rsid w:val="67CE77C6"/>
    <w:rsid w:val="67E1494E"/>
    <w:rsid w:val="67FE4679"/>
    <w:rsid w:val="68091DC3"/>
    <w:rsid w:val="68512C67"/>
    <w:rsid w:val="687A14BF"/>
    <w:rsid w:val="68AE1F73"/>
    <w:rsid w:val="68B51372"/>
    <w:rsid w:val="68CE37E9"/>
    <w:rsid w:val="68EA123C"/>
    <w:rsid w:val="690659EB"/>
    <w:rsid w:val="69542EAB"/>
    <w:rsid w:val="695928D6"/>
    <w:rsid w:val="69614BD2"/>
    <w:rsid w:val="696E21A1"/>
    <w:rsid w:val="6978026D"/>
    <w:rsid w:val="699C1654"/>
    <w:rsid w:val="69E23906"/>
    <w:rsid w:val="6A211646"/>
    <w:rsid w:val="6A494220"/>
    <w:rsid w:val="6A6517C0"/>
    <w:rsid w:val="6A6652AB"/>
    <w:rsid w:val="6A6C5287"/>
    <w:rsid w:val="6A7C568C"/>
    <w:rsid w:val="6A940423"/>
    <w:rsid w:val="6AB04E71"/>
    <w:rsid w:val="6AC10733"/>
    <w:rsid w:val="6AE12E4B"/>
    <w:rsid w:val="6AFF4E74"/>
    <w:rsid w:val="6B27020C"/>
    <w:rsid w:val="6B2D1E47"/>
    <w:rsid w:val="6B2D69E6"/>
    <w:rsid w:val="6B2D7DF9"/>
    <w:rsid w:val="6B4E767A"/>
    <w:rsid w:val="6B7B5CB8"/>
    <w:rsid w:val="6BA14F58"/>
    <w:rsid w:val="6BAB37B4"/>
    <w:rsid w:val="6BE152C3"/>
    <w:rsid w:val="6BE97B12"/>
    <w:rsid w:val="6C216DFC"/>
    <w:rsid w:val="6C716440"/>
    <w:rsid w:val="6CB03100"/>
    <w:rsid w:val="6CB244CA"/>
    <w:rsid w:val="6CC12FE1"/>
    <w:rsid w:val="6CCA31C1"/>
    <w:rsid w:val="6CD705E9"/>
    <w:rsid w:val="6CE448C0"/>
    <w:rsid w:val="6CE461C1"/>
    <w:rsid w:val="6D007739"/>
    <w:rsid w:val="6D0707E0"/>
    <w:rsid w:val="6D085C15"/>
    <w:rsid w:val="6D13738D"/>
    <w:rsid w:val="6D317DF2"/>
    <w:rsid w:val="6D5F128C"/>
    <w:rsid w:val="6D6B7941"/>
    <w:rsid w:val="6D6C44BA"/>
    <w:rsid w:val="6D7A2751"/>
    <w:rsid w:val="6D80402C"/>
    <w:rsid w:val="6D8D5AFA"/>
    <w:rsid w:val="6D92154C"/>
    <w:rsid w:val="6D970E6F"/>
    <w:rsid w:val="6E0E7BB4"/>
    <w:rsid w:val="6E2A58CC"/>
    <w:rsid w:val="6E3E1036"/>
    <w:rsid w:val="6E460FBD"/>
    <w:rsid w:val="6E4A0A84"/>
    <w:rsid w:val="6E555F99"/>
    <w:rsid w:val="6E5A28BA"/>
    <w:rsid w:val="6E60319F"/>
    <w:rsid w:val="6E8D3DD1"/>
    <w:rsid w:val="6EA0431F"/>
    <w:rsid w:val="6EAB3516"/>
    <w:rsid w:val="6EBA21AE"/>
    <w:rsid w:val="6EBD6174"/>
    <w:rsid w:val="6EDD21E4"/>
    <w:rsid w:val="6EEB4084"/>
    <w:rsid w:val="6EFA113E"/>
    <w:rsid w:val="6F0F6C3E"/>
    <w:rsid w:val="6F393D9C"/>
    <w:rsid w:val="6F3A7546"/>
    <w:rsid w:val="6F520870"/>
    <w:rsid w:val="6F6C3253"/>
    <w:rsid w:val="6F8A5891"/>
    <w:rsid w:val="6F902CEC"/>
    <w:rsid w:val="6F9055C6"/>
    <w:rsid w:val="6FB00074"/>
    <w:rsid w:val="6FDB291C"/>
    <w:rsid w:val="6FDC5DB8"/>
    <w:rsid w:val="700C29B4"/>
    <w:rsid w:val="707A4674"/>
    <w:rsid w:val="70A73440"/>
    <w:rsid w:val="70AF084F"/>
    <w:rsid w:val="712E0578"/>
    <w:rsid w:val="713E3F59"/>
    <w:rsid w:val="71453C9C"/>
    <w:rsid w:val="715C7408"/>
    <w:rsid w:val="7172349B"/>
    <w:rsid w:val="717F245B"/>
    <w:rsid w:val="71950224"/>
    <w:rsid w:val="71997ED8"/>
    <w:rsid w:val="71A64138"/>
    <w:rsid w:val="71BA423B"/>
    <w:rsid w:val="7214345D"/>
    <w:rsid w:val="721662ED"/>
    <w:rsid w:val="721F30BA"/>
    <w:rsid w:val="72230D99"/>
    <w:rsid w:val="72630FC4"/>
    <w:rsid w:val="727B566C"/>
    <w:rsid w:val="72C70748"/>
    <w:rsid w:val="72C708B1"/>
    <w:rsid w:val="72FB1DB7"/>
    <w:rsid w:val="72FC6D23"/>
    <w:rsid w:val="73142D5C"/>
    <w:rsid w:val="733510E6"/>
    <w:rsid w:val="733B64C3"/>
    <w:rsid w:val="73502ACA"/>
    <w:rsid w:val="735E6FC8"/>
    <w:rsid w:val="739509AF"/>
    <w:rsid w:val="73D569A1"/>
    <w:rsid w:val="73E66B82"/>
    <w:rsid w:val="73E809A0"/>
    <w:rsid w:val="73ED4347"/>
    <w:rsid w:val="740B576B"/>
    <w:rsid w:val="7430244F"/>
    <w:rsid w:val="7479207F"/>
    <w:rsid w:val="7482413D"/>
    <w:rsid w:val="7496138D"/>
    <w:rsid w:val="749E5EAB"/>
    <w:rsid w:val="74D81C39"/>
    <w:rsid w:val="74E01DB8"/>
    <w:rsid w:val="74E36062"/>
    <w:rsid w:val="75197B50"/>
    <w:rsid w:val="755E562A"/>
    <w:rsid w:val="75705230"/>
    <w:rsid w:val="75722D56"/>
    <w:rsid w:val="75762C33"/>
    <w:rsid w:val="75880E7E"/>
    <w:rsid w:val="75A373B3"/>
    <w:rsid w:val="75A94DFD"/>
    <w:rsid w:val="75CF05A7"/>
    <w:rsid w:val="75D93DCA"/>
    <w:rsid w:val="761752AC"/>
    <w:rsid w:val="76520AD0"/>
    <w:rsid w:val="76612DCA"/>
    <w:rsid w:val="769C1BD4"/>
    <w:rsid w:val="76AD106A"/>
    <w:rsid w:val="76B60C15"/>
    <w:rsid w:val="76C643A6"/>
    <w:rsid w:val="76D72F94"/>
    <w:rsid w:val="770537EC"/>
    <w:rsid w:val="772608C2"/>
    <w:rsid w:val="774308DB"/>
    <w:rsid w:val="77453866"/>
    <w:rsid w:val="77570521"/>
    <w:rsid w:val="77642132"/>
    <w:rsid w:val="776D717F"/>
    <w:rsid w:val="777601BB"/>
    <w:rsid w:val="77B643AD"/>
    <w:rsid w:val="77C83101"/>
    <w:rsid w:val="77FB422F"/>
    <w:rsid w:val="781F021C"/>
    <w:rsid w:val="786C4BEC"/>
    <w:rsid w:val="78A523E1"/>
    <w:rsid w:val="78D363F5"/>
    <w:rsid w:val="78D4106A"/>
    <w:rsid w:val="78E55D05"/>
    <w:rsid w:val="78F427B2"/>
    <w:rsid w:val="7902634C"/>
    <w:rsid w:val="793C3604"/>
    <w:rsid w:val="79613A28"/>
    <w:rsid w:val="797919EB"/>
    <w:rsid w:val="79975481"/>
    <w:rsid w:val="79BC07D3"/>
    <w:rsid w:val="79C23338"/>
    <w:rsid w:val="79D626A1"/>
    <w:rsid w:val="79FD164B"/>
    <w:rsid w:val="7A097A01"/>
    <w:rsid w:val="7A0D7447"/>
    <w:rsid w:val="7A107F05"/>
    <w:rsid w:val="7A1B7234"/>
    <w:rsid w:val="7A291E51"/>
    <w:rsid w:val="7A295F24"/>
    <w:rsid w:val="7A2E348E"/>
    <w:rsid w:val="7A3E0A89"/>
    <w:rsid w:val="7A5371EA"/>
    <w:rsid w:val="7A65031B"/>
    <w:rsid w:val="7A9861CB"/>
    <w:rsid w:val="7A997C38"/>
    <w:rsid w:val="7AAA11E4"/>
    <w:rsid w:val="7AC027B5"/>
    <w:rsid w:val="7ADE7987"/>
    <w:rsid w:val="7B050040"/>
    <w:rsid w:val="7B0F2D22"/>
    <w:rsid w:val="7B28027D"/>
    <w:rsid w:val="7B2C7452"/>
    <w:rsid w:val="7B30320B"/>
    <w:rsid w:val="7B305A04"/>
    <w:rsid w:val="7BBA5457"/>
    <w:rsid w:val="7BDE71EA"/>
    <w:rsid w:val="7BE11DAE"/>
    <w:rsid w:val="7C223C58"/>
    <w:rsid w:val="7C3F0AB1"/>
    <w:rsid w:val="7C480CB4"/>
    <w:rsid w:val="7C554C59"/>
    <w:rsid w:val="7C736279"/>
    <w:rsid w:val="7CB87724"/>
    <w:rsid w:val="7CC21429"/>
    <w:rsid w:val="7CCC6CE9"/>
    <w:rsid w:val="7CEC40DD"/>
    <w:rsid w:val="7CED174B"/>
    <w:rsid w:val="7CF80044"/>
    <w:rsid w:val="7CF91ABF"/>
    <w:rsid w:val="7CFD3A8D"/>
    <w:rsid w:val="7D112BE0"/>
    <w:rsid w:val="7D1A5715"/>
    <w:rsid w:val="7D24527D"/>
    <w:rsid w:val="7D404ECF"/>
    <w:rsid w:val="7D5438E4"/>
    <w:rsid w:val="7D6A6A08"/>
    <w:rsid w:val="7D89723D"/>
    <w:rsid w:val="7D8A131B"/>
    <w:rsid w:val="7D9D32BC"/>
    <w:rsid w:val="7DA23C41"/>
    <w:rsid w:val="7DA71A0B"/>
    <w:rsid w:val="7DB70A60"/>
    <w:rsid w:val="7DBF384A"/>
    <w:rsid w:val="7DEE4D4E"/>
    <w:rsid w:val="7E0639FD"/>
    <w:rsid w:val="7E105802"/>
    <w:rsid w:val="7E1D3FB8"/>
    <w:rsid w:val="7E1E49BC"/>
    <w:rsid w:val="7E275B10"/>
    <w:rsid w:val="7E2D1F10"/>
    <w:rsid w:val="7E402F74"/>
    <w:rsid w:val="7E561870"/>
    <w:rsid w:val="7EA10D4C"/>
    <w:rsid w:val="7EA27E37"/>
    <w:rsid w:val="7EA7410A"/>
    <w:rsid w:val="7EAA3B6B"/>
    <w:rsid w:val="7EB500C9"/>
    <w:rsid w:val="7EDB3A44"/>
    <w:rsid w:val="7EE60B84"/>
    <w:rsid w:val="7F0345DF"/>
    <w:rsid w:val="7F072044"/>
    <w:rsid w:val="7F1D01D6"/>
    <w:rsid w:val="7F2E55A6"/>
    <w:rsid w:val="7F5541A9"/>
    <w:rsid w:val="7F6735B9"/>
    <w:rsid w:val="7F776253"/>
    <w:rsid w:val="7F8103D1"/>
    <w:rsid w:val="7F8C5632"/>
    <w:rsid w:val="7FA65BD3"/>
    <w:rsid w:val="7FB05D45"/>
    <w:rsid w:val="7FC21AF5"/>
    <w:rsid w:val="7FDB7F81"/>
    <w:rsid w:val="7FFB2E7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nhideWhenUsed="0" w:uiPriority="99" w:semiHidden="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qFormat="1" w:unhideWhenUsed="0" w:uiPriority="99" w:semiHidden="0" w:name="envelope return"/>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name="Date"/>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ocked="1"/>
    <w:lsdException w:qFormat="1" w:unhideWhenUsed="0" w:uiPriority="99" w:semiHidden="0" w:name="Emphasis" w:locked="1"/>
    <w:lsdException w:uiPriority="99" w:name="Document Map" w:locked="1"/>
    <w:lsdException w:qFormat="1" w:unhideWhenUsed="0" w:uiPriority="99"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0" w:semiHidden="0" w:name="HTML Preformatted" w:locked="1"/>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4">
    <w:name w:val="heading 1"/>
    <w:basedOn w:val="1"/>
    <w:next w:val="1"/>
    <w:link w:val="43"/>
    <w:qFormat/>
    <w:uiPriority w:val="99"/>
    <w:pPr>
      <w:keepNext/>
      <w:outlineLvl w:val="0"/>
    </w:pPr>
    <w:rPr>
      <w:rFonts w:ascii="??_GB2312" w:hAnsi="Times New Roman"/>
      <w:kern w:val="0"/>
      <w:sz w:val="28"/>
      <w:szCs w:val="28"/>
    </w:rPr>
  </w:style>
  <w:style w:type="paragraph" w:styleId="5">
    <w:name w:val="heading 2"/>
    <w:basedOn w:val="1"/>
    <w:next w:val="1"/>
    <w:link w:val="44"/>
    <w:qFormat/>
    <w:uiPriority w:val="99"/>
    <w:pPr>
      <w:keepNext/>
      <w:keepLines/>
      <w:spacing w:before="260" w:after="260" w:line="415" w:lineRule="auto"/>
      <w:jc w:val="center"/>
      <w:outlineLvl w:val="1"/>
    </w:pPr>
    <w:rPr>
      <w:rFonts w:ascii="Arial" w:hAnsi="Arial" w:eastAsia="幼圆"/>
      <w:b/>
      <w:bCs/>
      <w:kern w:val="0"/>
      <w:sz w:val="44"/>
      <w:szCs w:val="44"/>
    </w:rPr>
  </w:style>
  <w:style w:type="paragraph" w:styleId="6">
    <w:name w:val="heading 3"/>
    <w:basedOn w:val="1"/>
    <w:next w:val="1"/>
    <w:link w:val="45"/>
    <w:qFormat/>
    <w:uiPriority w:val="99"/>
    <w:pPr>
      <w:keepNext/>
      <w:keepLines/>
      <w:spacing w:before="260" w:after="260" w:line="415" w:lineRule="auto"/>
      <w:outlineLvl w:val="2"/>
    </w:pPr>
    <w:rPr>
      <w:b/>
      <w:bCs/>
      <w:kern w:val="0"/>
      <w:sz w:val="32"/>
      <w:szCs w:val="32"/>
    </w:rPr>
  </w:style>
  <w:style w:type="paragraph" w:styleId="7">
    <w:name w:val="heading 7"/>
    <w:basedOn w:val="1"/>
    <w:next w:val="1"/>
    <w:link w:val="46"/>
    <w:qFormat/>
    <w:uiPriority w:val="99"/>
    <w:pPr>
      <w:keepNext/>
      <w:keepLines/>
      <w:widowControl/>
      <w:spacing w:before="240" w:after="64" w:line="316" w:lineRule="auto"/>
      <w:ind w:left="1296" w:hanging="1296"/>
      <w:jc w:val="left"/>
      <w:outlineLvl w:val="6"/>
    </w:pPr>
    <w:rPr>
      <w:rFonts w:ascii="Times New Roman" w:hAnsi="Times New Roman"/>
      <w:b/>
      <w:bCs/>
      <w:kern w:val="0"/>
      <w:sz w:val="24"/>
      <w:szCs w:val="24"/>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57"/>
    <w:qFormat/>
    <w:uiPriority w:val="99"/>
    <w:pPr>
      <w:spacing w:line="360" w:lineRule="auto"/>
      <w:ind w:firstLine="200" w:firstLineChars="200"/>
    </w:pPr>
    <w:rPr>
      <w:rFonts w:ascii="仿宋_GB2312" w:eastAsia="仿宋_GB2312"/>
      <w:sz w:val="30"/>
      <w:szCs w:val="30"/>
    </w:rPr>
  </w:style>
  <w:style w:type="paragraph" w:styleId="3">
    <w:name w:val="Body Text"/>
    <w:basedOn w:val="1"/>
    <w:next w:val="1"/>
    <w:link w:val="48"/>
    <w:qFormat/>
    <w:uiPriority w:val="99"/>
    <w:rPr>
      <w:rFonts w:ascii="??_GB2312" w:hAnsi="Arial"/>
      <w:kern w:val="0"/>
      <w:sz w:val="28"/>
      <w:szCs w:val="28"/>
    </w:rPr>
  </w:style>
  <w:style w:type="paragraph" w:styleId="8">
    <w:name w:val="Normal Indent"/>
    <w:basedOn w:val="1"/>
    <w:qFormat/>
    <w:uiPriority w:val="99"/>
    <w:pPr>
      <w:ind w:firstLine="420" w:firstLineChars="200"/>
    </w:pPr>
  </w:style>
  <w:style w:type="paragraph" w:styleId="9">
    <w:name w:val="annotation text"/>
    <w:basedOn w:val="1"/>
    <w:link w:val="47"/>
    <w:qFormat/>
    <w:uiPriority w:val="99"/>
    <w:pPr>
      <w:jc w:val="left"/>
    </w:pPr>
    <w:rPr>
      <w:kern w:val="0"/>
    </w:rPr>
  </w:style>
  <w:style w:type="paragraph" w:styleId="10">
    <w:name w:val="Body Text Indent"/>
    <w:basedOn w:val="1"/>
    <w:next w:val="11"/>
    <w:link w:val="73"/>
    <w:qFormat/>
    <w:uiPriority w:val="99"/>
    <w:pPr>
      <w:spacing w:after="120"/>
      <w:ind w:left="420" w:leftChars="200"/>
    </w:pPr>
    <w:rPr>
      <w:kern w:val="0"/>
      <w:szCs w:val="20"/>
    </w:rPr>
  </w:style>
  <w:style w:type="paragraph" w:styleId="11">
    <w:name w:val="envelope return"/>
    <w:basedOn w:val="1"/>
    <w:qFormat/>
    <w:uiPriority w:val="99"/>
    <w:pPr>
      <w:snapToGrid w:val="0"/>
    </w:pPr>
    <w:rPr>
      <w:rFonts w:ascii="Arial" w:hAnsi="Arial"/>
    </w:rPr>
  </w:style>
  <w:style w:type="paragraph" w:styleId="12">
    <w:name w:val="Plain Text"/>
    <w:basedOn w:val="1"/>
    <w:link w:val="50"/>
    <w:semiHidden/>
    <w:qFormat/>
    <w:uiPriority w:val="99"/>
    <w:rPr>
      <w:rFonts w:ascii="宋体" w:hAnsi="Courier New" w:cs="Courier New"/>
    </w:rPr>
  </w:style>
  <w:style w:type="paragraph" w:styleId="13">
    <w:name w:val="Date"/>
    <w:basedOn w:val="1"/>
    <w:next w:val="1"/>
    <w:link w:val="51"/>
    <w:semiHidden/>
    <w:qFormat/>
    <w:uiPriority w:val="99"/>
    <w:pPr>
      <w:ind w:left="100" w:leftChars="2500"/>
    </w:pPr>
  </w:style>
  <w:style w:type="paragraph" w:styleId="14">
    <w:name w:val="Balloon Text"/>
    <w:basedOn w:val="1"/>
    <w:link w:val="52"/>
    <w:qFormat/>
    <w:uiPriority w:val="99"/>
    <w:rPr>
      <w:sz w:val="18"/>
      <w:szCs w:val="18"/>
    </w:rPr>
  </w:style>
  <w:style w:type="paragraph" w:styleId="15">
    <w:name w:val="footer"/>
    <w:basedOn w:val="1"/>
    <w:link w:val="53"/>
    <w:qFormat/>
    <w:uiPriority w:val="99"/>
    <w:pPr>
      <w:snapToGrid w:val="0"/>
      <w:jc w:val="left"/>
    </w:pPr>
    <w:rPr>
      <w:kern w:val="0"/>
      <w:sz w:val="18"/>
      <w:szCs w:val="18"/>
    </w:rPr>
  </w:style>
  <w:style w:type="paragraph" w:styleId="16">
    <w:name w:val="header"/>
    <w:basedOn w:val="1"/>
    <w:link w:val="54"/>
    <w:qFormat/>
    <w:uiPriority w:val="99"/>
    <w:pPr>
      <w:pBdr>
        <w:bottom w:val="single" w:color="auto" w:sz="6" w:space="1"/>
      </w:pBdr>
      <w:snapToGrid w:val="0"/>
      <w:jc w:val="center"/>
    </w:pPr>
    <w:rPr>
      <w:kern w:val="0"/>
      <w:sz w:val="18"/>
      <w:szCs w:val="18"/>
    </w:rPr>
  </w:style>
  <w:style w:type="paragraph" w:styleId="17">
    <w:name w:val="HTML Preformatted"/>
    <w:basedOn w:val="1"/>
    <w:qFormat/>
    <w:locked/>
    <w:uiPriority w:val="0"/>
    <w:pPr>
      <w:adjustRightInd w:val="0"/>
      <w:spacing w:line="360" w:lineRule="atLeast"/>
      <w:textAlignment w:val="baseline"/>
    </w:pPr>
    <w:rPr>
      <w:rFonts w:ascii="Courier New" w:hAnsi="Courier New"/>
      <w:kern w:val="0"/>
      <w:sz w:val="20"/>
      <w:szCs w:val="20"/>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9">
    <w:name w:val="Title"/>
    <w:basedOn w:val="1"/>
    <w:next w:val="1"/>
    <w:link w:val="55"/>
    <w:qFormat/>
    <w:locked/>
    <w:uiPriority w:val="99"/>
    <w:pPr>
      <w:spacing w:before="240" w:after="60"/>
      <w:jc w:val="center"/>
      <w:outlineLvl w:val="0"/>
    </w:pPr>
    <w:rPr>
      <w:rFonts w:ascii="Cambria" w:hAnsi="Cambria"/>
      <w:b/>
      <w:bCs/>
      <w:sz w:val="32"/>
      <w:szCs w:val="32"/>
    </w:rPr>
  </w:style>
  <w:style w:type="paragraph" w:styleId="20">
    <w:name w:val="annotation subject"/>
    <w:basedOn w:val="9"/>
    <w:next w:val="9"/>
    <w:link w:val="56"/>
    <w:qFormat/>
    <w:uiPriority w:val="99"/>
    <w:rPr>
      <w:b/>
      <w:bCs/>
    </w:rPr>
  </w:style>
  <w:style w:type="paragraph" w:styleId="21">
    <w:name w:val="Body Text First Indent 2"/>
    <w:basedOn w:val="10"/>
    <w:next w:val="1"/>
    <w:link w:val="74"/>
    <w:qFormat/>
    <w:uiPriority w:val="99"/>
    <w:pPr>
      <w:ind w:firstLine="420" w:firstLineChars="200"/>
    </w:pPr>
  </w:style>
  <w:style w:type="table" w:styleId="23">
    <w:name w:val="Table Grid"/>
    <w:basedOn w:val="22"/>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locked/>
    <w:uiPriority w:val="99"/>
    <w:rPr>
      <w:rFonts w:cs="Times New Roman"/>
      <w:b/>
    </w:rPr>
  </w:style>
  <w:style w:type="character" w:styleId="26">
    <w:name w:val="FollowedHyperlink"/>
    <w:basedOn w:val="24"/>
    <w:qFormat/>
    <w:uiPriority w:val="99"/>
    <w:rPr>
      <w:rFonts w:cs="Times New Roman"/>
      <w:color w:val="800080"/>
      <w:u w:val="single"/>
    </w:rPr>
  </w:style>
  <w:style w:type="character" w:styleId="27">
    <w:name w:val="Emphasis"/>
    <w:basedOn w:val="24"/>
    <w:qFormat/>
    <w:locked/>
    <w:uiPriority w:val="99"/>
    <w:rPr>
      <w:rFonts w:cs="Times New Roman"/>
      <w:b/>
    </w:rPr>
  </w:style>
  <w:style w:type="character" w:styleId="28">
    <w:name w:val="HTML Definition"/>
    <w:basedOn w:val="24"/>
    <w:qFormat/>
    <w:uiPriority w:val="99"/>
    <w:rPr>
      <w:rFonts w:cs="Times New Roman"/>
    </w:rPr>
  </w:style>
  <w:style w:type="character" w:styleId="29">
    <w:name w:val="HTML Typewriter"/>
    <w:basedOn w:val="24"/>
    <w:qFormat/>
    <w:uiPriority w:val="99"/>
    <w:rPr>
      <w:rFonts w:ascii="monospace" w:hAnsi="monospace" w:cs="monospace"/>
      <w:sz w:val="20"/>
    </w:rPr>
  </w:style>
  <w:style w:type="character" w:styleId="30">
    <w:name w:val="HTML Acronym"/>
    <w:basedOn w:val="24"/>
    <w:qFormat/>
    <w:uiPriority w:val="99"/>
    <w:rPr>
      <w:rFonts w:cs="Times New Roman"/>
    </w:rPr>
  </w:style>
  <w:style w:type="character" w:styleId="31">
    <w:name w:val="HTML Variable"/>
    <w:basedOn w:val="24"/>
    <w:qFormat/>
    <w:uiPriority w:val="99"/>
    <w:rPr>
      <w:rFonts w:cs="Times New Roman"/>
    </w:rPr>
  </w:style>
  <w:style w:type="character" w:styleId="32">
    <w:name w:val="Hyperlink"/>
    <w:basedOn w:val="24"/>
    <w:qFormat/>
    <w:uiPriority w:val="99"/>
    <w:rPr>
      <w:rFonts w:cs="Times New Roman"/>
      <w:color w:val="0000FF"/>
      <w:u w:val="single"/>
    </w:rPr>
  </w:style>
  <w:style w:type="character" w:styleId="33">
    <w:name w:val="HTML Code"/>
    <w:basedOn w:val="24"/>
    <w:qFormat/>
    <w:uiPriority w:val="99"/>
    <w:rPr>
      <w:rFonts w:ascii="monospace" w:hAnsi="monospace" w:cs="monospace"/>
      <w:sz w:val="20"/>
    </w:rPr>
  </w:style>
  <w:style w:type="character" w:styleId="34">
    <w:name w:val="annotation reference"/>
    <w:basedOn w:val="24"/>
    <w:qFormat/>
    <w:uiPriority w:val="99"/>
    <w:rPr>
      <w:rFonts w:cs="Times New Roman"/>
      <w:sz w:val="21"/>
    </w:rPr>
  </w:style>
  <w:style w:type="character" w:styleId="35">
    <w:name w:val="HTML Cite"/>
    <w:basedOn w:val="24"/>
    <w:qFormat/>
    <w:uiPriority w:val="99"/>
    <w:rPr>
      <w:rFonts w:cs="Times New Roman"/>
    </w:rPr>
  </w:style>
  <w:style w:type="character" w:styleId="36">
    <w:name w:val="HTML Keyboard"/>
    <w:basedOn w:val="24"/>
    <w:qFormat/>
    <w:uiPriority w:val="99"/>
    <w:rPr>
      <w:rFonts w:ascii="monospace" w:hAnsi="monospace" w:cs="monospace"/>
      <w:sz w:val="20"/>
    </w:rPr>
  </w:style>
  <w:style w:type="character" w:styleId="37">
    <w:name w:val="HTML Sample"/>
    <w:basedOn w:val="24"/>
    <w:qFormat/>
    <w:uiPriority w:val="99"/>
    <w:rPr>
      <w:rFonts w:ascii="monospace" w:hAnsi="monospace" w:cs="monospace"/>
    </w:rPr>
  </w:style>
  <w:style w:type="paragraph" w:customStyle="1" w:styleId="38">
    <w:name w:val="DAS正文"/>
    <w:basedOn w:val="1"/>
    <w:qFormat/>
    <w:uiPriority w:val="99"/>
    <w:pPr>
      <w:spacing w:line="360" w:lineRule="auto"/>
      <w:ind w:right="181" w:firstLine="480"/>
    </w:pPr>
    <w:rPr>
      <w:rFonts w:ascii="Verdana" w:hAnsi="Verdana"/>
      <w:szCs w:val="24"/>
    </w:rPr>
  </w:style>
  <w:style w:type="paragraph" w:customStyle="1" w:styleId="39">
    <w:name w:val="正文1"/>
    <w:basedOn w:val="40"/>
    <w:qFormat/>
    <w:uiPriority w:val="99"/>
    <w:pPr>
      <w:spacing w:line="360" w:lineRule="auto"/>
      <w:ind w:firstLine="361"/>
    </w:pPr>
    <w:rPr>
      <w:rFonts w:ascii="宋体" w:hAnsi="宋体"/>
      <w:szCs w:val="24"/>
    </w:rPr>
  </w:style>
  <w:style w:type="paragraph" w:customStyle="1" w:styleId="40">
    <w:name w:val="正文11"/>
    <w:next w:val="41"/>
    <w:qFormat/>
    <w:uiPriority w:val="0"/>
    <w:pPr>
      <w:widowControl w:val="0"/>
      <w:jc w:val="both"/>
    </w:pPr>
    <w:rPr>
      <w:rFonts w:ascii="Calibri" w:hAnsi="Calibri" w:eastAsia="宋体" w:cs="Times New Roman"/>
      <w:kern w:val="2"/>
      <w:sz w:val="21"/>
      <w:szCs w:val="21"/>
      <w:lang w:val="en-US" w:eastAsia="zh-CN" w:bidi="ar-SA"/>
    </w:rPr>
  </w:style>
  <w:style w:type="paragraph" w:customStyle="1" w:styleId="41">
    <w:name w:val="正文文本1"/>
    <w:basedOn w:val="40"/>
    <w:next w:val="40"/>
    <w:qFormat/>
    <w:uiPriority w:val="99"/>
    <w:rPr>
      <w:rFonts w:ascii="??_GB2312" w:hAnsi="??_GB2312"/>
      <w:sz w:val="28"/>
      <w:szCs w:val="28"/>
    </w:rPr>
  </w:style>
  <w:style w:type="paragraph" w:customStyle="1" w:styleId="4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43">
    <w:name w:val="标题 1 Char"/>
    <w:basedOn w:val="24"/>
    <w:link w:val="4"/>
    <w:qFormat/>
    <w:locked/>
    <w:uiPriority w:val="99"/>
    <w:rPr>
      <w:rFonts w:ascii="??_GB2312" w:hAnsi="Times New Roman" w:eastAsia="宋体" w:cs="Times New Roman"/>
      <w:sz w:val="28"/>
    </w:rPr>
  </w:style>
  <w:style w:type="character" w:customStyle="1" w:styleId="44">
    <w:name w:val="标题 2 Char"/>
    <w:basedOn w:val="24"/>
    <w:link w:val="5"/>
    <w:qFormat/>
    <w:locked/>
    <w:uiPriority w:val="99"/>
    <w:rPr>
      <w:rFonts w:ascii="Arial" w:hAnsi="Arial" w:eastAsia="幼圆" w:cs="Times New Roman"/>
      <w:b/>
      <w:sz w:val="44"/>
    </w:rPr>
  </w:style>
  <w:style w:type="character" w:customStyle="1" w:styleId="45">
    <w:name w:val="标题 3 Char"/>
    <w:basedOn w:val="24"/>
    <w:link w:val="6"/>
    <w:qFormat/>
    <w:locked/>
    <w:uiPriority w:val="99"/>
    <w:rPr>
      <w:rFonts w:ascii="Calibri" w:hAnsi="Calibri" w:eastAsia="宋体" w:cs="Times New Roman"/>
      <w:b/>
      <w:sz w:val="32"/>
    </w:rPr>
  </w:style>
  <w:style w:type="character" w:customStyle="1" w:styleId="46">
    <w:name w:val="标题 7 Char"/>
    <w:basedOn w:val="24"/>
    <w:link w:val="7"/>
    <w:qFormat/>
    <w:locked/>
    <w:uiPriority w:val="99"/>
    <w:rPr>
      <w:rFonts w:ascii="Times New Roman" w:hAnsi="Times New Roman" w:eastAsia="宋体" w:cs="Times New Roman"/>
      <w:b/>
      <w:kern w:val="0"/>
      <w:sz w:val="24"/>
    </w:rPr>
  </w:style>
  <w:style w:type="character" w:customStyle="1" w:styleId="47">
    <w:name w:val="批注文字 Char"/>
    <w:basedOn w:val="24"/>
    <w:link w:val="9"/>
    <w:qFormat/>
    <w:locked/>
    <w:uiPriority w:val="99"/>
    <w:rPr>
      <w:rFonts w:ascii="Calibri" w:hAnsi="Calibri" w:cs="Times New Roman"/>
      <w:sz w:val="21"/>
    </w:rPr>
  </w:style>
  <w:style w:type="character" w:customStyle="1" w:styleId="48">
    <w:name w:val="正文文本 Char"/>
    <w:basedOn w:val="24"/>
    <w:link w:val="3"/>
    <w:qFormat/>
    <w:locked/>
    <w:uiPriority w:val="99"/>
    <w:rPr>
      <w:rFonts w:ascii="??_GB2312" w:hAnsi="Arial" w:eastAsia="宋体" w:cs="Times New Roman"/>
      <w:sz w:val="28"/>
    </w:rPr>
  </w:style>
  <w:style w:type="character" w:customStyle="1" w:styleId="49">
    <w:name w:val="Body Text Indent Char"/>
    <w:basedOn w:val="24"/>
    <w:semiHidden/>
    <w:qFormat/>
    <w:locked/>
    <w:uiPriority w:val="99"/>
    <w:rPr>
      <w:rFonts w:ascii="Calibri" w:hAnsi="Calibri" w:cs="Times New Roman"/>
      <w:sz w:val="21"/>
    </w:rPr>
  </w:style>
  <w:style w:type="character" w:customStyle="1" w:styleId="50">
    <w:name w:val="纯文本 Char"/>
    <w:basedOn w:val="24"/>
    <w:link w:val="12"/>
    <w:semiHidden/>
    <w:qFormat/>
    <w:locked/>
    <w:uiPriority w:val="99"/>
    <w:rPr>
      <w:rFonts w:ascii="宋体" w:hAnsi="Courier New" w:cs="Courier New"/>
      <w:kern w:val="2"/>
      <w:sz w:val="21"/>
      <w:szCs w:val="21"/>
    </w:rPr>
  </w:style>
  <w:style w:type="character" w:customStyle="1" w:styleId="51">
    <w:name w:val="日期 Char"/>
    <w:basedOn w:val="24"/>
    <w:link w:val="13"/>
    <w:semiHidden/>
    <w:qFormat/>
    <w:locked/>
    <w:uiPriority w:val="99"/>
    <w:rPr>
      <w:rFonts w:ascii="Calibri" w:hAnsi="Calibri" w:eastAsia="宋体" w:cs="Times New Roman"/>
      <w:kern w:val="2"/>
      <w:sz w:val="21"/>
      <w:szCs w:val="21"/>
    </w:rPr>
  </w:style>
  <w:style w:type="character" w:customStyle="1" w:styleId="52">
    <w:name w:val="批注框文本 Char"/>
    <w:basedOn w:val="24"/>
    <w:link w:val="14"/>
    <w:semiHidden/>
    <w:qFormat/>
    <w:locked/>
    <w:uiPriority w:val="99"/>
    <w:rPr>
      <w:rFonts w:ascii="Calibri" w:hAnsi="Calibri" w:cs="Times New Roman"/>
      <w:kern w:val="2"/>
      <w:sz w:val="18"/>
    </w:rPr>
  </w:style>
  <w:style w:type="character" w:customStyle="1" w:styleId="53">
    <w:name w:val="页脚 Char"/>
    <w:basedOn w:val="24"/>
    <w:link w:val="15"/>
    <w:qFormat/>
    <w:locked/>
    <w:uiPriority w:val="99"/>
    <w:rPr>
      <w:rFonts w:ascii="Calibri" w:hAnsi="Calibri" w:eastAsia="宋体" w:cs="Times New Roman"/>
      <w:sz w:val="18"/>
    </w:rPr>
  </w:style>
  <w:style w:type="character" w:customStyle="1" w:styleId="54">
    <w:name w:val="页眉 Char"/>
    <w:basedOn w:val="24"/>
    <w:link w:val="16"/>
    <w:qFormat/>
    <w:locked/>
    <w:uiPriority w:val="99"/>
    <w:rPr>
      <w:rFonts w:ascii="Calibri" w:hAnsi="Calibri" w:eastAsia="宋体" w:cs="Times New Roman"/>
      <w:sz w:val="18"/>
    </w:rPr>
  </w:style>
  <w:style w:type="character" w:customStyle="1" w:styleId="55">
    <w:name w:val="标题 Char"/>
    <w:basedOn w:val="24"/>
    <w:link w:val="19"/>
    <w:qFormat/>
    <w:locked/>
    <w:uiPriority w:val="99"/>
    <w:rPr>
      <w:rFonts w:ascii="Cambria" w:hAnsi="Cambria" w:cs="Times New Roman"/>
      <w:b/>
      <w:bCs/>
      <w:kern w:val="2"/>
      <w:sz w:val="32"/>
      <w:szCs w:val="32"/>
    </w:rPr>
  </w:style>
  <w:style w:type="character" w:customStyle="1" w:styleId="56">
    <w:name w:val="批注主题 Char"/>
    <w:basedOn w:val="47"/>
    <w:link w:val="20"/>
    <w:semiHidden/>
    <w:qFormat/>
    <w:locked/>
    <w:uiPriority w:val="99"/>
    <w:rPr>
      <w:rFonts w:ascii="Calibri" w:hAnsi="Calibri" w:cs="Times New Roman"/>
      <w:b/>
      <w:kern w:val="2"/>
      <w:sz w:val="21"/>
    </w:rPr>
  </w:style>
  <w:style w:type="character" w:customStyle="1" w:styleId="57">
    <w:name w:val="正文首行缩进 Char"/>
    <w:basedOn w:val="48"/>
    <w:link w:val="2"/>
    <w:semiHidden/>
    <w:qFormat/>
    <w:locked/>
    <w:uiPriority w:val="99"/>
    <w:rPr>
      <w:rFonts w:ascii="Calibri" w:hAnsi="Calibri" w:eastAsia="宋体" w:cs="Times New Roman"/>
      <w:sz w:val="21"/>
      <w:szCs w:val="21"/>
    </w:rPr>
  </w:style>
  <w:style w:type="character" w:customStyle="1" w:styleId="58">
    <w:name w:val="Body Text First Indent 2 Char"/>
    <w:basedOn w:val="49"/>
    <w:semiHidden/>
    <w:qFormat/>
    <w:locked/>
    <w:uiPriority w:val="99"/>
    <w:rPr>
      <w:rFonts w:ascii="Calibri" w:hAnsi="Calibri" w:cs="Times New Roman"/>
      <w:sz w:val="21"/>
      <w:szCs w:val="21"/>
    </w:rPr>
  </w:style>
  <w:style w:type="paragraph" w:customStyle="1" w:styleId="59">
    <w:name w:val="正文首行缩进 21"/>
    <w:basedOn w:val="10"/>
    <w:qFormat/>
    <w:uiPriority w:val="99"/>
    <w:pPr>
      <w:ind w:firstLine="200" w:firstLineChars="200"/>
    </w:pPr>
  </w:style>
  <w:style w:type="paragraph" w:customStyle="1" w:styleId="60">
    <w:name w:val="BodyText"/>
    <w:basedOn w:val="1"/>
    <w:qFormat/>
    <w:uiPriority w:val="99"/>
    <w:rPr>
      <w:rFonts w:ascii="??_GB2312" w:hAnsi="Arial"/>
      <w:kern w:val="0"/>
      <w:sz w:val="28"/>
      <w:szCs w:val="28"/>
    </w:rPr>
  </w:style>
  <w:style w:type="paragraph" w:customStyle="1" w:styleId="61">
    <w:name w:val="段"/>
    <w:next w:val="1"/>
    <w:qFormat/>
    <w:uiPriority w:val="99"/>
    <w:pPr>
      <w:widowControl w:val="0"/>
      <w:ind w:firstLine="200"/>
      <w:jc w:val="both"/>
    </w:pPr>
    <w:rPr>
      <w:rFonts w:ascii="宋体" w:hAnsi="宋体" w:eastAsia="宋体" w:cs="宋体"/>
      <w:color w:val="000000"/>
      <w:sz w:val="21"/>
      <w:szCs w:val="21"/>
      <w:lang w:val="en-US" w:eastAsia="zh-CN" w:bidi="ar-SA"/>
    </w:rPr>
  </w:style>
  <w:style w:type="paragraph" w:customStyle="1" w:styleId="62">
    <w:name w:val="纯文本1"/>
    <w:basedOn w:val="1"/>
    <w:qFormat/>
    <w:uiPriority w:val="99"/>
    <w:rPr>
      <w:rFonts w:ascii="宋体" w:hAnsi="Courier New"/>
      <w:sz w:val="28"/>
      <w:szCs w:val="28"/>
    </w:rPr>
  </w:style>
  <w:style w:type="paragraph" w:customStyle="1" w:styleId="63">
    <w:name w:val="首行缩进"/>
    <w:basedOn w:val="1"/>
    <w:qFormat/>
    <w:uiPriority w:val="99"/>
    <w:pPr>
      <w:spacing w:line="360" w:lineRule="auto"/>
      <w:ind w:firstLine="480" w:firstLineChars="200"/>
    </w:pPr>
    <w:rPr>
      <w:rFonts w:ascii="宋体" w:hAnsi="宋体" w:cs="宋体"/>
      <w:kern w:val="0"/>
      <w:sz w:val="24"/>
      <w:szCs w:val="24"/>
    </w:rPr>
  </w:style>
  <w:style w:type="paragraph" w:customStyle="1" w:styleId="64">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5">
    <w:name w:val="标题1"/>
    <w:basedOn w:val="1"/>
    <w:next w:val="1"/>
    <w:qFormat/>
    <w:uiPriority w:val="99"/>
    <w:pPr>
      <w:spacing w:line="700" w:lineRule="atLeast"/>
      <w:jc w:val="center"/>
    </w:pPr>
    <w:rPr>
      <w:rFonts w:ascii="Times New Roman" w:hAnsi="Times New Roman"/>
      <w:sz w:val="44"/>
      <w:szCs w:val="44"/>
    </w:rPr>
  </w:style>
  <w:style w:type="paragraph" w:customStyle="1" w:styleId="66">
    <w:name w:val="普通正文"/>
    <w:basedOn w:val="1"/>
    <w:qFormat/>
    <w:uiPriority w:val="99"/>
    <w:pPr>
      <w:adjustRightInd w:val="0"/>
      <w:spacing w:before="120" w:after="120" w:line="360" w:lineRule="auto"/>
      <w:ind w:firstLine="480"/>
      <w:jc w:val="left"/>
      <w:textAlignment w:val="baseline"/>
    </w:pPr>
    <w:rPr>
      <w:rFonts w:ascii="Arial" w:hAnsi="Arial"/>
      <w:kern w:val="0"/>
      <w:sz w:val="24"/>
      <w:szCs w:val="24"/>
    </w:rPr>
  </w:style>
  <w:style w:type="paragraph" w:customStyle="1" w:styleId="67">
    <w:name w:val="正文缩进2格"/>
    <w:basedOn w:val="1"/>
    <w:qFormat/>
    <w:uiPriority w:val="99"/>
    <w:pPr>
      <w:spacing w:line="600" w:lineRule="exact"/>
      <w:ind w:firstLine="639" w:firstLineChars="206"/>
    </w:pPr>
    <w:rPr>
      <w:rFonts w:ascii="??_GB2312" w:hAnsi="宋体"/>
      <w:sz w:val="31"/>
      <w:szCs w:val="31"/>
    </w:rPr>
  </w:style>
  <w:style w:type="paragraph" w:customStyle="1" w:styleId="68">
    <w:name w:val="样式 标题 2 + 黑色 行距: 1.5 倍行距"/>
    <w:basedOn w:val="5"/>
    <w:qFormat/>
    <w:uiPriority w:val="99"/>
    <w:pPr>
      <w:spacing w:line="360" w:lineRule="auto"/>
      <w:ind w:firstLine="2397" w:firstLineChars="746"/>
      <w:jc w:val="left"/>
    </w:pPr>
    <w:rPr>
      <w:rFonts w:ascii="宋体" w:hAnsi="宋体" w:eastAsia="宋体" w:cs="??_GB2312"/>
      <w:color w:val="000000"/>
    </w:rPr>
  </w:style>
  <w:style w:type="paragraph" w:customStyle="1" w:styleId="69">
    <w:name w:val="列出段落1"/>
    <w:basedOn w:val="1"/>
    <w:qFormat/>
    <w:uiPriority w:val="99"/>
    <w:pPr>
      <w:ind w:firstLine="420" w:firstLineChars="200"/>
    </w:pPr>
  </w:style>
  <w:style w:type="character" w:customStyle="1" w:styleId="70">
    <w:name w:val="10"/>
    <w:qFormat/>
    <w:uiPriority w:val="99"/>
    <w:rPr>
      <w:rFonts w:ascii="Times New Roman" w:hAnsi="Times New Roman"/>
    </w:rPr>
  </w:style>
  <w:style w:type="character" w:customStyle="1" w:styleId="71">
    <w:name w:val="15"/>
    <w:qFormat/>
    <w:uiPriority w:val="99"/>
    <w:rPr>
      <w:rFonts w:ascii="Times New Roman" w:hAnsi="Times New Roman"/>
      <w:color w:val="0563C1"/>
      <w:u w:val="single"/>
    </w:rPr>
  </w:style>
  <w:style w:type="paragraph" w:customStyle="1" w:styleId="72">
    <w:name w:val="普通文字"/>
    <w:basedOn w:val="1"/>
    <w:next w:val="1"/>
    <w:qFormat/>
    <w:uiPriority w:val="99"/>
    <w:rPr>
      <w:rFonts w:ascii="宋体" w:hAnsi="等线" w:eastAsia="等线" w:cs="宋体"/>
      <w:kern w:val="0"/>
      <w:sz w:val="24"/>
      <w:u w:color="000000"/>
    </w:rPr>
  </w:style>
  <w:style w:type="character" w:customStyle="1" w:styleId="73">
    <w:name w:val="正文文本缩进 Char"/>
    <w:link w:val="10"/>
    <w:qFormat/>
    <w:locked/>
    <w:uiPriority w:val="99"/>
    <w:rPr>
      <w:rFonts w:ascii="Calibri" w:hAnsi="Calibri" w:eastAsia="宋体"/>
      <w:sz w:val="21"/>
    </w:rPr>
  </w:style>
  <w:style w:type="character" w:customStyle="1" w:styleId="74">
    <w:name w:val="正文首行缩进 2 Char"/>
    <w:basedOn w:val="73"/>
    <w:link w:val="21"/>
    <w:qFormat/>
    <w:locked/>
    <w:uiPriority w:val="99"/>
    <w:rPr>
      <w:rFonts w:ascii="Calibri" w:hAnsi="Calibri" w:eastAsia="宋体" w:cs="Times New Roman"/>
      <w:sz w:val="21"/>
      <w:szCs w:val="21"/>
    </w:rPr>
  </w:style>
  <w:style w:type="paragraph" w:customStyle="1" w:styleId="75">
    <w:name w:val="列出段落2"/>
    <w:basedOn w:val="1"/>
    <w:qFormat/>
    <w:uiPriority w:val="99"/>
    <w:pPr>
      <w:ind w:firstLine="420" w:firstLineChars="200"/>
    </w:pPr>
    <w:rPr>
      <w:szCs w:val="22"/>
    </w:rPr>
  </w:style>
  <w:style w:type="character" w:customStyle="1" w:styleId="76">
    <w:name w:val="批注文字 Char2"/>
    <w:qFormat/>
    <w:uiPriority w:val="99"/>
    <w:rPr>
      <w:kern w:val="2"/>
      <w:sz w:val="21"/>
    </w:rPr>
  </w:style>
  <w:style w:type="character" w:customStyle="1" w:styleId="77">
    <w:name w:val="正文首行缩进 2 Char1"/>
    <w:qFormat/>
    <w:uiPriority w:val="99"/>
    <w:rPr>
      <w:rFonts w:ascii="宋体" w:eastAsia="宋体"/>
      <w:kern w:val="2"/>
      <w:sz w:val="21"/>
    </w:rPr>
  </w:style>
  <w:style w:type="paragraph" w:customStyle="1" w:styleId="78">
    <w:name w:val="列出段落3"/>
    <w:basedOn w:val="1"/>
    <w:qFormat/>
    <w:uiPriority w:val="99"/>
    <w:pPr>
      <w:ind w:firstLine="420" w:firstLineChars="200"/>
    </w:pPr>
  </w:style>
  <w:style w:type="paragraph" w:customStyle="1" w:styleId="79">
    <w:name w:val="表格内容"/>
    <w:qFormat/>
    <w:uiPriority w:val="99"/>
    <w:rPr>
      <w:rFonts w:ascii="Times New Roman" w:hAnsi="Times New Roman" w:eastAsia="宋体" w:cs="Times New Roman"/>
      <w:kern w:val="2"/>
      <w:sz w:val="21"/>
      <w:szCs w:val="21"/>
      <w:lang w:val="en-US" w:eastAsia="zh-CN" w:bidi="ar-SA"/>
    </w:rPr>
  </w:style>
  <w:style w:type="character" w:customStyle="1" w:styleId="80">
    <w:name w:val="btn-task-gray"/>
    <w:basedOn w:val="24"/>
    <w:qFormat/>
    <w:uiPriority w:val="99"/>
    <w:rPr>
      <w:rFonts w:cs="Times New Roman"/>
      <w:color w:val="FFFFFF"/>
      <w:u w:val="none"/>
      <w:shd w:val="clear" w:color="auto" w:fill="CCCCCC"/>
    </w:rPr>
  </w:style>
  <w:style w:type="character" w:customStyle="1" w:styleId="81">
    <w:name w:val="btn-task-gray1"/>
    <w:basedOn w:val="24"/>
    <w:qFormat/>
    <w:uiPriority w:val="99"/>
    <w:rPr>
      <w:rFonts w:cs="Times New Roman"/>
    </w:rPr>
  </w:style>
  <w:style w:type="character" w:customStyle="1" w:styleId="82">
    <w:name w:val="hover39"/>
    <w:basedOn w:val="24"/>
    <w:qFormat/>
    <w:uiPriority w:val="99"/>
    <w:rPr>
      <w:rFonts w:cs="Times New Roman"/>
      <w:color w:val="3EAF0E"/>
    </w:rPr>
  </w:style>
  <w:style w:type="character" w:customStyle="1" w:styleId="83">
    <w:name w:val="s16"/>
    <w:basedOn w:val="24"/>
    <w:qFormat/>
    <w:uiPriority w:val="99"/>
    <w:rPr>
      <w:rFonts w:cs="Times New Roman"/>
      <w:color w:val="DDDDDD"/>
      <w:sz w:val="18"/>
      <w:szCs w:val="18"/>
    </w:rPr>
  </w:style>
  <w:style w:type="character" w:customStyle="1" w:styleId="84">
    <w:name w:val="mr-prof"/>
    <w:basedOn w:val="24"/>
    <w:qFormat/>
    <w:uiPriority w:val="99"/>
    <w:rPr>
      <w:rFonts w:cs="Times New Roman"/>
    </w:rPr>
  </w:style>
  <w:style w:type="paragraph" w:customStyle="1" w:styleId="85">
    <w:name w:val="列表段落1"/>
    <w:basedOn w:val="1"/>
    <w:qFormat/>
    <w:uiPriority w:val="99"/>
    <w:pPr>
      <w:ind w:firstLine="420" w:firstLineChars="200"/>
    </w:pPr>
  </w:style>
  <w:style w:type="character" w:customStyle="1" w:styleId="86">
    <w:name w:val="正文文本缩进 3 Char"/>
    <w:semiHidden/>
    <w:qFormat/>
    <w:uiPriority w:val="99"/>
    <w:rPr>
      <w:rFonts w:ascii="仿宋_GB2312" w:eastAsia="仿宋_GB2312"/>
      <w:kern w:val="2"/>
      <w:sz w:val="24"/>
      <w:lang w:val="en-US" w:eastAsia="zh-CN"/>
    </w:rPr>
  </w:style>
  <w:style w:type="paragraph" w:customStyle="1" w:styleId="87">
    <w:name w:val="修订1"/>
    <w:hidden/>
    <w:qFormat/>
    <w:uiPriority w:val="99"/>
    <w:rPr>
      <w:rFonts w:ascii="Calibri" w:hAnsi="Calibri" w:eastAsia="宋体" w:cs="Times New Roman"/>
      <w:kern w:val="2"/>
      <w:sz w:val="21"/>
      <w:szCs w:val="21"/>
      <w:lang w:val="en-US" w:eastAsia="zh-CN" w:bidi="ar-SA"/>
    </w:rPr>
  </w:style>
  <w:style w:type="character" w:customStyle="1" w:styleId="88">
    <w:name w:val="mini-outputtext1"/>
    <w:basedOn w:val="24"/>
    <w:qFormat/>
    <w:uiPriority w:val="99"/>
    <w:rPr>
      <w:rFonts w:cs="Times New Roman"/>
    </w:rPr>
  </w:style>
  <w:style w:type="character" w:customStyle="1" w:styleId="89">
    <w:name w:val="hover1"/>
    <w:basedOn w:val="24"/>
    <w:qFormat/>
    <w:uiPriority w:val="99"/>
    <w:rPr>
      <w:rFonts w:cs="Times New Roman"/>
      <w:color w:val="5FB878"/>
    </w:rPr>
  </w:style>
  <w:style w:type="paragraph" w:customStyle="1" w:styleId="90">
    <w:name w:val="!正文"/>
    <w:basedOn w:val="8"/>
    <w:qFormat/>
    <w:uiPriority w:val="99"/>
    <w:pPr>
      <w:spacing w:line="360" w:lineRule="auto"/>
      <w:ind w:firstLine="480"/>
    </w:pPr>
    <w:rPr>
      <w:b/>
      <w:sz w:val="24"/>
      <w:szCs w:val="24"/>
    </w:rPr>
  </w:style>
  <w:style w:type="paragraph" w:customStyle="1" w:styleId="91">
    <w:name w:val="标题 11"/>
    <w:basedOn w:val="40"/>
    <w:next w:val="40"/>
    <w:qFormat/>
    <w:uiPriority w:val="99"/>
    <w:pPr>
      <w:keepNext/>
      <w:outlineLvl w:val="0"/>
    </w:pPr>
    <w:rPr>
      <w:rFonts w:ascii="楷体_GB2312" w:hAnsi="楷体_GB2312" w:eastAsia="楷体_GB2312"/>
      <w:kern w:val="0"/>
      <w:sz w:val="28"/>
      <w:szCs w:val="20"/>
    </w:rPr>
  </w:style>
  <w:style w:type="paragraph" w:customStyle="1" w:styleId="92">
    <w:name w:val="Normal_19"/>
    <w:qFormat/>
    <w:uiPriority w:val="99"/>
    <w:pPr>
      <w:widowControl w:val="0"/>
      <w:jc w:val="both"/>
    </w:pPr>
    <w:rPr>
      <w:rFonts w:ascii="Times New Roman" w:hAnsi="Times New Roman" w:eastAsia="宋体" w:cs="Times New Roman"/>
      <w:lang w:val="en-US" w:eastAsia="zh-CN" w:bidi="ar-SA"/>
    </w:rPr>
  </w:style>
  <w:style w:type="character" w:customStyle="1" w:styleId="93">
    <w:name w:val="NormalCharacter"/>
    <w:semiHidden/>
    <w:qFormat/>
    <w:uiPriority w:val="99"/>
  </w:style>
  <w:style w:type="paragraph" w:customStyle="1" w:styleId="94">
    <w:name w:val="修订2"/>
    <w:hidden/>
    <w:semiHidden/>
    <w:qFormat/>
    <w:uiPriority w:val="99"/>
    <w:rPr>
      <w:rFonts w:ascii="Calibri" w:hAnsi="Calibri" w:eastAsia="宋体" w:cs="Times New Roman"/>
      <w:kern w:val="2"/>
      <w:sz w:val="21"/>
      <w:szCs w:val="21"/>
      <w:lang w:val="en-US" w:eastAsia="zh-CN" w:bidi="ar-SA"/>
    </w:rPr>
  </w:style>
  <w:style w:type="paragraph" w:customStyle="1" w:styleId="95">
    <w:name w:val="修订3"/>
    <w:hidden/>
    <w:semiHidden/>
    <w:qFormat/>
    <w:uiPriority w:val="99"/>
    <w:rPr>
      <w:rFonts w:ascii="Calibri" w:hAnsi="Calibri" w:eastAsia="宋体" w:cs="Times New Roman"/>
      <w:kern w:val="2"/>
      <w:sz w:val="21"/>
      <w:szCs w:val="21"/>
      <w:lang w:val="en-US" w:eastAsia="zh-CN" w:bidi="ar-SA"/>
    </w:rPr>
  </w:style>
  <w:style w:type="paragraph" w:customStyle="1" w:styleId="96">
    <w:name w:val="无间隔1"/>
    <w:qFormat/>
    <w:uiPriority w:val="1"/>
    <w:pPr>
      <w:widowControl w:val="0"/>
      <w:jc w:val="both"/>
    </w:pPr>
    <w:rPr>
      <w:rFonts w:ascii="Calibri" w:hAnsi="Calibri" w:eastAsia="等线" w:cs="Times New Roman"/>
      <w:kern w:val="2"/>
      <w:sz w:val="21"/>
      <w:szCs w:val="24"/>
      <w:lang w:val="en-US" w:eastAsia="zh-CN" w:bidi="ar-SA"/>
    </w:rPr>
  </w:style>
  <w:style w:type="paragraph" w:customStyle="1" w:styleId="97">
    <w:name w:val="表文"/>
    <w:basedOn w:val="1"/>
    <w:qFormat/>
    <w:uiPriority w:val="0"/>
    <w:pPr>
      <w:keepLines/>
      <w:widowControl/>
      <w:tabs>
        <w:tab w:val="right" w:pos="9660"/>
      </w:tabs>
      <w:topLinePunct/>
      <w:spacing w:line="360" w:lineRule="auto"/>
      <w:jc w:val="center"/>
      <w:textAlignment w:val="center"/>
    </w:pPr>
    <w:rPr>
      <w:rFonts w:ascii="等线" w:eastAsia="等线"/>
    </w:rPr>
  </w:style>
  <w:style w:type="paragraph" w:styleId="9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4FBE59-6F57-49F8-99AA-C8728077384C}">
  <ds:schemaRefs/>
</ds:datastoreItem>
</file>

<file path=docProps/app.xml><?xml version="1.0" encoding="utf-8"?>
<Properties xmlns="http://schemas.openxmlformats.org/officeDocument/2006/extended-properties" xmlns:vt="http://schemas.openxmlformats.org/officeDocument/2006/docPropsVTypes">
  <Template>Normal</Template>
  <Company>GT</Company>
  <Pages>49</Pages>
  <Words>25370</Words>
  <Characters>26181</Characters>
  <Lines>197</Lines>
  <Paragraphs>55</Paragraphs>
  <TotalTime>0</TotalTime>
  <ScaleCrop>false</ScaleCrop>
  <LinksUpToDate>false</LinksUpToDate>
  <CharactersWithSpaces>27005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2022-08-19T02:34:00Z</dcterms:created>
  <dc:creator>Administrator</dc:creator>
  <cp:lastModifiedBy>张</cp:lastModifiedBy>
  <cp:lastPrinted>2022-02-22T16:47:00Z</cp:lastPrinted>
  <dcterms:modified xsi:type="dcterms:W3CDTF">2022-09-22T05:53:44Z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E62609CF8A8F4B93B39F2A733470F8BE</vt:lpwstr>
  </property>
</Properties>
</file>