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E9" w:rsidRDefault="00165C78">
      <w:pPr>
        <w:widowControl/>
        <w:wordWrap w:val="0"/>
        <w:topLinePunct/>
        <w:autoSpaceDE w:val="0"/>
        <w:spacing w:line="580" w:lineRule="exact"/>
        <w:ind w:firstLine="420"/>
        <w:jc w:val="center"/>
        <w:rPr>
          <w:rFonts w:ascii="Times New Roman" w:eastAsia="方正小标宋简体" w:hAnsi="Times New Roman"/>
          <w:spacing w:val="-11"/>
          <w:kern w:val="0"/>
          <w:sz w:val="44"/>
          <w:szCs w:val="44"/>
        </w:rPr>
      </w:pPr>
      <w:r>
        <w:rPr>
          <w:rFonts w:ascii="Times New Roman" w:eastAsia="方正小标宋简体" w:hAnsi="Times New Roman" w:hint="eastAsia"/>
          <w:spacing w:val="-11"/>
          <w:kern w:val="0"/>
          <w:sz w:val="44"/>
          <w:szCs w:val="44"/>
        </w:rPr>
        <w:t>南通市通州区</w:t>
      </w:r>
      <w:r>
        <w:rPr>
          <w:rFonts w:ascii="Times New Roman" w:eastAsia="方正小标宋简体" w:hAnsi="Times New Roman" w:hint="eastAsia"/>
          <w:spacing w:val="-11"/>
          <w:kern w:val="0"/>
          <w:sz w:val="44"/>
          <w:szCs w:val="44"/>
        </w:rPr>
        <w:t>2022-01</w:t>
      </w:r>
      <w:r>
        <w:rPr>
          <w:rFonts w:ascii="Times New Roman" w:eastAsia="方正小标宋简体" w:hAnsi="Times New Roman" w:hint="eastAsia"/>
          <w:spacing w:val="-11"/>
          <w:kern w:val="0"/>
          <w:sz w:val="44"/>
          <w:szCs w:val="44"/>
        </w:rPr>
        <w:t>号土地征收成片开发方案部</w:t>
      </w:r>
      <w:proofErr w:type="gramStart"/>
      <w:r>
        <w:rPr>
          <w:rFonts w:ascii="Times New Roman" w:eastAsia="方正小标宋简体" w:hAnsi="Times New Roman" w:hint="eastAsia"/>
          <w:spacing w:val="-11"/>
          <w:kern w:val="0"/>
          <w:sz w:val="44"/>
          <w:szCs w:val="44"/>
        </w:rPr>
        <w:t>分片区</w:t>
      </w:r>
      <w:proofErr w:type="gramEnd"/>
      <w:r>
        <w:rPr>
          <w:rFonts w:ascii="Times New Roman" w:eastAsia="方正小标宋简体" w:hAnsi="Times New Roman" w:hint="eastAsia"/>
          <w:spacing w:val="-11"/>
          <w:kern w:val="0"/>
          <w:sz w:val="44"/>
          <w:szCs w:val="44"/>
        </w:rPr>
        <w:t>调整方案</w:t>
      </w:r>
    </w:p>
    <w:p w:rsidR="000719E9" w:rsidRDefault="00165C78">
      <w:pPr>
        <w:widowControl/>
        <w:wordWrap w:val="0"/>
        <w:topLinePunct/>
        <w:autoSpaceDE w:val="0"/>
        <w:spacing w:line="580" w:lineRule="exact"/>
        <w:jc w:val="center"/>
        <w:rPr>
          <w:rFonts w:ascii="Times New Roman" w:eastAsia="方正小标宋简体" w:hAnsi="Times New Roman"/>
          <w:spacing w:val="-11"/>
          <w:kern w:val="0"/>
          <w:sz w:val="32"/>
          <w:szCs w:val="32"/>
        </w:rPr>
      </w:pPr>
      <w:r>
        <w:rPr>
          <w:rFonts w:ascii="Times New Roman" w:eastAsia="方正小标宋简体" w:hAnsi="Times New Roman" w:hint="eastAsia"/>
          <w:spacing w:val="-11"/>
          <w:kern w:val="0"/>
          <w:sz w:val="32"/>
          <w:szCs w:val="32"/>
        </w:rPr>
        <w:t>（征求意见稿）</w:t>
      </w:r>
    </w:p>
    <w:p w:rsidR="000719E9" w:rsidRDefault="000719E9">
      <w:pPr>
        <w:jc w:val="center"/>
        <w:rPr>
          <w:rFonts w:ascii="仿宋_GB2312" w:eastAsia="仿宋_GB2312" w:hAnsi="黑体" w:cs="黑体"/>
          <w:sz w:val="28"/>
          <w:szCs w:val="36"/>
        </w:rPr>
      </w:pP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为满足城市发展用地需求，规范征地程序，保障被征地农民合法权益，根据《中华人民共和国土地管理法》</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《中华人民共和国土地管理法实施条例》</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《江苏省土地管理条例》《自然资源部关于印发</w:t>
      </w:r>
      <w:r>
        <w:rPr>
          <w:rFonts w:ascii="Times New Roman" w:eastAsia="方正仿宋_GBK" w:hAnsi="Times New Roman"/>
          <w:color w:val="000000"/>
          <w:sz w:val="32"/>
          <w:szCs w:val="32"/>
        </w:rPr>
        <w:t>&lt;</w:t>
      </w:r>
      <w:r>
        <w:rPr>
          <w:rFonts w:ascii="Times New Roman" w:eastAsia="方正仿宋_GBK" w:hAnsi="Times New Roman"/>
          <w:color w:val="000000"/>
          <w:sz w:val="32"/>
          <w:szCs w:val="32"/>
        </w:rPr>
        <w:t>土地征收成片开发标准</w:t>
      </w:r>
      <w:r>
        <w:rPr>
          <w:rFonts w:ascii="Times New Roman" w:eastAsia="方正仿宋_GBK" w:hAnsi="Times New Roman"/>
          <w:color w:val="000000"/>
          <w:sz w:val="32"/>
          <w:szCs w:val="32"/>
        </w:rPr>
        <w:t>&gt;</w:t>
      </w:r>
      <w:r>
        <w:rPr>
          <w:rFonts w:ascii="Times New Roman" w:eastAsia="方正仿宋_GBK" w:hAnsi="Times New Roman"/>
          <w:color w:val="000000"/>
          <w:sz w:val="32"/>
          <w:szCs w:val="32"/>
        </w:rPr>
        <w:t>的通知》（自然资规〔</w:t>
      </w:r>
      <w:r>
        <w:rPr>
          <w:rFonts w:ascii="Times New Roman" w:eastAsia="方正仿宋_GBK" w:hAnsi="Times New Roman"/>
          <w:color w:val="000000"/>
          <w:sz w:val="32"/>
          <w:szCs w:val="32"/>
        </w:rPr>
        <w:t>2023</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号）、《江苏省自然资源厅关于加快推进土地征收成片开发方案编制工作的通知》（苏自然资发〔</w:t>
      </w:r>
      <w:r>
        <w:rPr>
          <w:rFonts w:ascii="Times New Roman" w:eastAsia="方正仿宋_GBK" w:hAnsi="Times New Roman"/>
          <w:color w:val="000000"/>
          <w:sz w:val="32"/>
          <w:szCs w:val="32"/>
        </w:rPr>
        <w:t>2021</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138</w:t>
      </w:r>
      <w:r>
        <w:rPr>
          <w:rFonts w:ascii="Times New Roman" w:eastAsia="方正仿宋_GBK" w:hAnsi="Times New Roman"/>
          <w:color w:val="000000"/>
          <w:sz w:val="32"/>
          <w:szCs w:val="32"/>
        </w:rPr>
        <w:t>号）以及《南通市国土空间总体规划（</w:t>
      </w:r>
      <w:r>
        <w:rPr>
          <w:rFonts w:ascii="Times New Roman" w:eastAsia="方正仿宋_GBK" w:hAnsi="Times New Roman"/>
          <w:color w:val="000000"/>
          <w:sz w:val="32"/>
          <w:szCs w:val="32"/>
        </w:rPr>
        <w:t>2021-2035</w:t>
      </w:r>
      <w:r>
        <w:rPr>
          <w:rFonts w:ascii="Times New Roman" w:eastAsia="方正仿宋_GBK" w:hAnsi="Times New Roman"/>
          <w:color w:val="000000"/>
          <w:sz w:val="32"/>
          <w:szCs w:val="32"/>
        </w:rPr>
        <w:t>年）》等要求，</w:t>
      </w:r>
      <w:r>
        <w:rPr>
          <w:rFonts w:ascii="Times New Roman" w:eastAsia="方正仿宋_GBK" w:hAnsi="Times New Roman" w:hint="eastAsia"/>
          <w:color w:val="000000"/>
          <w:sz w:val="32"/>
          <w:szCs w:val="32"/>
        </w:rPr>
        <w:t>南通市通州区</w:t>
      </w:r>
      <w:r>
        <w:rPr>
          <w:rFonts w:ascii="Times New Roman" w:eastAsia="方正仿宋_GBK" w:hAnsi="Times New Roman"/>
          <w:color w:val="000000"/>
          <w:sz w:val="32"/>
          <w:szCs w:val="32"/>
        </w:rPr>
        <w:t>人民政府委托</w:t>
      </w:r>
      <w:r w:rsidR="00EF4E11" w:rsidRPr="00EF4E11">
        <w:rPr>
          <w:rFonts w:ascii="Times New Roman" w:eastAsia="方正仿宋_GBK" w:hAnsi="Times New Roman" w:hint="eastAsia"/>
          <w:color w:val="000000"/>
          <w:sz w:val="32"/>
          <w:szCs w:val="32"/>
        </w:rPr>
        <w:t>南通市自然资源和规划局苏锡通园区分局</w:t>
      </w:r>
      <w:bookmarkStart w:id="0" w:name="_GoBack"/>
      <w:bookmarkEnd w:id="0"/>
      <w:r>
        <w:rPr>
          <w:rFonts w:ascii="Times New Roman" w:eastAsia="方正仿宋_GBK" w:hAnsi="Times New Roman"/>
          <w:color w:val="000000"/>
          <w:sz w:val="32"/>
          <w:szCs w:val="32"/>
        </w:rPr>
        <w:t>组织编制了</w:t>
      </w:r>
      <w:r>
        <w:rPr>
          <w:rFonts w:ascii="Times New Roman" w:eastAsia="方正仿宋_GBK" w:hAnsi="Times New Roman" w:hint="eastAsia"/>
          <w:color w:val="000000"/>
          <w:sz w:val="32"/>
          <w:szCs w:val="32"/>
        </w:rPr>
        <w:t>南通市通州区</w:t>
      </w:r>
      <w:r>
        <w:rPr>
          <w:rFonts w:ascii="Times New Roman" w:eastAsia="方正仿宋_GBK" w:hAnsi="Times New Roman" w:hint="eastAsia"/>
          <w:color w:val="000000"/>
          <w:sz w:val="32"/>
          <w:szCs w:val="32"/>
        </w:rPr>
        <w:t>2022-01</w:t>
      </w:r>
      <w:r>
        <w:rPr>
          <w:rFonts w:ascii="Times New Roman" w:eastAsia="方正仿宋_GBK" w:hAnsi="Times New Roman" w:hint="eastAsia"/>
          <w:color w:val="000000"/>
          <w:sz w:val="32"/>
          <w:szCs w:val="32"/>
        </w:rPr>
        <w:t>号土地征收成片开发方案部分片区调整方案</w:t>
      </w:r>
      <w:r>
        <w:rPr>
          <w:rFonts w:ascii="Times New Roman" w:eastAsia="方正仿宋_GBK" w:hAnsi="Times New Roman"/>
          <w:color w:val="000000"/>
          <w:sz w:val="32"/>
          <w:szCs w:val="32"/>
        </w:rPr>
        <w:t>。</w:t>
      </w:r>
    </w:p>
    <w:p w:rsidR="000719E9" w:rsidRDefault="00165C78">
      <w:pPr>
        <w:pStyle w:val="1"/>
        <w:numPr>
          <w:ilvl w:val="0"/>
          <w:numId w:val="1"/>
        </w:numPr>
        <w:spacing w:before="100" w:after="120" w:line="560" w:lineRule="exact"/>
        <w:ind w:firstLineChars="200" w:firstLine="640"/>
        <w:rPr>
          <w:rFonts w:ascii="方正黑体_GBK" w:eastAsia="方正黑体_GBK" w:hAnsi="方正黑体_GBK" w:cs="方正黑体_GBK"/>
          <w:b w:val="0"/>
          <w:sz w:val="32"/>
          <w:szCs w:val="32"/>
        </w:rPr>
      </w:pPr>
      <w:r>
        <w:rPr>
          <w:rFonts w:ascii="方正黑体_GBK" w:eastAsia="方正黑体_GBK" w:hAnsi="方正黑体_GBK" w:cs="方正黑体_GBK" w:hint="eastAsia"/>
          <w:b w:val="0"/>
          <w:sz w:val="32"/>
          <w:szCs w:val="32"/>
        </w:rPr>
        <w:t>片区基本情况</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本方案主要涉及</w:t>
      </w:r>
      <w:r>
        <w:rPr>
          <w:rFonts w:ascii="Times New Roman" w:eastAsia="方正仿宋_GBK" w:hAnsi="Times New Roman" w:hint="eastAsia"/>
          <w:color w:val="000000"/>
          <w:sz w:val="32"/>
          <w:szCs w:val="32"/>
        </w:rPr>
        <w:t>南通市通州区张芝山镇</w:t>
      </w:r>
      <w:r>
        <w:rPr>
          <w:rFonts w:ascii="Times New Roman" w:eastAsia="方正仿宋_GBK" w:hAnsi="Times New Roman"/>
          <w:color w:val="000000"/>
          <w:sz w:val="32"/>
          <w:szCs w:val="32"/>
        </w:rPr>
        <w:t>，共计</w:t>
      </w:r>
      <w:r>
        <w:rPr>
          <w:rFonts w:ascii="Times New Roman" w:eastAsia="方正仿宋_GBK" w:hAnsi="Times New Roman" w:hint="eastAsia"/>
          <w:color w:val="000000"/>
          <w:sz w:val="32"/>
          <w:szCs w:val="32"/>
        </w:rPr>
        <w:t>1</w:t>
      </w:r>
      <w:r>
        <w:rPr>
          <w:rFonts w:ascii="Times New Roman" w:eastAsia="方正仿宋_GBK" w:hAnsi="Times New Roman"/>
          <w:color w:val="000000"/>
          <w:sz w:val="32"/>
          <w:szCs w:val="32"/>
        </w:rPr>
        <w:t>个片区，</w:t>
      </w:r>
      <w:r>
        <w:rPr>
          <w:rFonts w:ascii="Times New Roman" w:eastAsia="方正仿宋_GBK" w:hAnsi="Times New Roman" w:hint="eastAsia"/>
          <w:color w:val="000000"/>
          <w:sz w:val="32"/>
          <w:szCs w:val="32"/>
        </w:rPr>
        <w:t>调整前</w:t>
      </w:r>
      <w:r>
        <w:rPr>
          <w:rFonts w:ascii="Times New Roman" w:eastAsia="方正仿宋_GBK" w:hAnsi="Times New Roman"/>
          <w:color w:val="000000"/>
          <w:sz w:val="32"/>
          <w:szCs w:val="32"/>
        </w:rPr>
        <w:t>总面积</w:t>
      </w:r>
      <w:r>
        <w:rPr>
          <w:rFonts w:ascii="Times New Roman" w:eastAsia="方正仿宋_GBK" w:hAnsi="Times New Roman" w:hint="eastAsia"/>
          <w:color w:val="000000"/>
          <w:sz w:val="32"/>
          <w:szCs w:val="32"/>
        </w:rPr>
        <w:t>99.7746</w:t>
      </w:r>
      <w:r>
        <w:rPr>
          <w:rFonts w:ascii="Times New Roman" w:eastAsia="方正仿宋_GBK" w:hAnsi="Times New Roman"/>
          <w:color w:val="000000"/>
          <w:sz w:val="32"/>
          <w:szCs w:val="32"/>
        </w:rPr>
        <w:t>公顷，</w:t>
      </w:r>
      <w:r>
        <w:rPr>
          <w:rFonts w:ascii="Times New Roman" w:eastAsia="方正仿宋_GBK" w:hAnsi="Times New Roman" w:hint="eastAsia"/>
          <w:color w:val="000000"/>
          <w:sz w:val="32"/>
          <w:szCs w:val="32"/>
        </w:rPr>
        <w:t>调整后总面积</w:t>
      </w:r>
      <w:r>
        <w:rPr>
          <w:rFonts w:ascii="Times New Roman" w:eastAsia="方正仿宋_GBK" w:hAnsi="Times New Roman" w:hint="eastAsia"/>
          <w:color w:val="000000"/>
          <w:sz w:val="32"/>
          <w:szCs w:val="32"/>
        </w:rPr>
        <w:t>77.7770</w:t>
      </w:r>
      <w:r>
        <w:rPr>
          <w:rFonts w:ascii="Times New Roman" w:eastAsia="方正仿宋_GBK" w:hAnsi="Times New Roman" w:hint="eastAsia"/>
          <w:color w:val="000000"/>
          <w:sz w:val="32"/>
          <w:szCs w:val="32"/>
        </w:rPr>
        <w:t>公顷</w:t>
      </w:r>
      <w:r>
        <w:rPr>
          <w:rFonts w:ascii="Times New Roman" w:eastAsia="方正仿宋_GBK" w:hAnsi="Times New Roman"/>
          <w:color w:val="000000"/>
          <w:sz w:val="32"/>
          <w:szCs w:val="32"/>
        </w:rPr>
        <w:t>，片区情况如下：</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CP320</w:t>
      </w:r>
      <w:r>
        <w:rPr>
          <w:rFonts w:ascii="Times New Roman" w:eastAsia="方正仿宋_GBK" w:hAnsi="Times New Roman" w:hint="eastAsia"/>
          <w:color w:val="000000"/>
          <w:sz w:val="32"/>
          <w:szCs w:val="32"/>
        </w:rPr>
        <w:t>612</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2</w:t>
      </w:r>
      <w:r>
        <w:rPr>
          <w:rFonts w:ascii="Times New Roman" w:eastAsia="方正仿宋_GBK" w:hAnsi="Times New Roman"/>
          <w:color w:val="000000"/>
          <w:sz w:val="32"/>
          <w:szCs w:val="32"/>
        </w:rPr>
        <w:t>-01-</w:t>
      </w:r>
      <w:r>
        <w:rPr>
          <w:rFonts w:ascii="Times New Roman" w:eastAsia="方正仿宋_GBK" w:hAnsi="Times New Roman" w:hint="eastAsia"/>
          <w:color w:val="000000"/>
          <w:sz w:val="32"/>
          <w:szCs w:val="32"/>
        </w:rPr>
        <w:t>17</w:t>
      </w:r>
      <w:r>
        <w:rPr>
          <w:rFonts w:ascii="Times New Roman" w:eastAsia="方正仿宋_GBK" w:hAnsi="Times New Roman"/>
          <w:color w:val="000000"/>
          <w:sz w:val="32"/>
          <w:szCs w:val="32"/>
        </w:rPr>
        <w:t>片区</w:t>
      </w:r>
      <w:r>
        <w:rPr>
          <w:rFonts w:ascii="Times New Roman" w:eastAsia="方正仿宋_GBK" w:hAnsi="Times New Roman" w:hint="eastAsia"/>
          <w:color w:val="000000"/>
          <w:sz w:val="32"/>
          <w:szCs w:val="32"/>
        </w:rPr>
        <w:t>调整前</w:t>
      </w:r>
      <w:r>
        <w:rPr>
          <w:rFonts w:ascii="Times New Roman" w:eastAsia="方正仿宋_GBK" w:hAnsi="Times New Roman"/>
          <w:color w:val="000000"/>
          <w:sz w:val="32"/>
          <w:szCs w:val="32"/>
        </w:rPr>
        <w:t>位于</w:t>
      </w:r>
      <w:r>
        <w:rPr>
          <w:rFonts w:ascii="Times New Roman" w:eastAsia="方正仿宋_GBK" w:hAnsi="Times New Roman" w:hint="eastAsia"/>
          <w:color w:val="000000"/>
          <w:sz w:val="32"/>
          <w:szCs w:val="32"/>
        </w:rPr>
        <w:t>张芝山镇</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东至规划迎花路，南至梧桐路，西至香樟路，北至凌霄路，</w:t>
      </w:r>
      <w:r>
        <w:rPr>
          <w:rFonts w:ascii="Times New Roman" w:eastAsia="方正仿宋_GBK" w:hAnsi="Times New Roman"/>
          <w:color w:val="000000"/>
          <w:sz w:val="32"/>
          <w:szCs w:val="32"/>
        </w:rPr>
        <w:t>片区总规模</w:t>
      </w:r>
      <w:r>
        <w:rPr>
          <w:rFonts w:ascii="Times New Roman" w:eastAsia="方正仿宋_GBK" w:hAnsi="Times New Roman" w:hint="eastAsia"/>
          <w:color w:val="000000"/>
          <w:sz w:val="32"/>
          <w:szCs w:val="32"/>
        </w:rPr>
        <w:t>99.7746</w:t>
      </w:r>
      <w:r>
        <w:rPr>
          <w:rFonts w:ascii="Times New Roman" w:eastAsia="方正仿宋_GBK" w:hAnsi="Times New Roman"/>
          <w:color w:val="000000"/>
          <w:sz w:val="32"/>
          <w:szCs w:val="32"/>
        </w:rPr>
        <w:t>公顷</w:t>
      </w:r>
      <w:r>
        <w:rPr>
          <w:rFonts w:ascii="Times New Roman" w:eastAsia="方正仿宋_GBK" w:hAnsi="Times New Roman" w:hint="eastAsia"/>
          <w:color w:val="000000"/>
          <w:sz w:val="32"/>
          <w:szCs w:val="32"/>
        </w:rPr>
        <w:t>；调整后</w:t>
      </w:r>
      <w:r>
        <w:rPr>
          <w:rFonts w:ascii="Times New Roman" w:eastAsia="方正仿宋_GBK" w:hAnsi="Times New Roman"/>
          <w:color w:val="000000"/>
          <w:sz w:val="32"/>
          <w:szCs w:val="32"/>
        </w:rPr>
        <w:t>位于</w:t>
      </w:r>
      <w:r>
        <w:rPr>
          <w:rFonts w:ascii="Times New Roman" w:eastAsia="方正仿宋_GBK" w:hAnsi="Times New Roman" w:hint="eastAsia"/>
          <w:color w:val="000000"/>
          <w:sz w:val="32"/>
          <w:szCs w:val="32"/>
        </w:rPr>
        <w:t>张芝山镇</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东至规划迎花路，南至梧桐路，西至香樟路，北至凌霄路</w:t>
      </w:r>
      <w:r>
        <w:rPr>
          <w:rFonts w:ascii="Times New Roman" w:eastAsia="方正仿宋_GBK" w:hAnsi="Times New Roman"/>
          <w:color w:val="000000"/>
          <w:sz w:val="32"/>
          <w:szCs w:val="32"/>
        </w:rPr>
        <w:t>，片区总规模</w:t>
      </w:r>
      <w:r>
        <w:rPr>
          <w:rFonts w:ascii="Times New Roman" w:eastAsia="方正仿宋_GBK" w:hAnsi="Times New Roman" w:hint="eastAsia"/>
          <w:color w:val="000000"/>
          <w:sz w:val="32"/>
          <w:szCs w:val="32"/>
        </w:rPr>
        <w:t>77.7770</w:t>
      </w:r>
      <w:r>
        <w:rPr>
          <w:rFonts w:ascii="Times New Roman" w:eastAsia="方正仿宋_GBK" w:hAnsi="Times New Roman"/>
          <w:color w:val="000000"/>
          <w:sz w:val="32"/>
          <w:szCs w:val="32"/>
        </w:rPr>
        <w:t>公顷</w:t>
      </w:r>
      <w:r>
        <w:rPr>
          <w:rFonts w:ascii="Times New Roman" w:eastAsia="方正仿宋_GBK" w:hAnsi="Times New Roman" w:hint="eastAsia"/>
          <w:color w:val="000000"/>
          <w:sz w:val="32"/>
          <w:szCs w:val="32"/>
        </w:rPr>
        <w:t>（调整后总规模以最终批复为准）</w:t>
      </w:r>
      <w:r>
        <w:rPr>
          <w:rFonts w:ascii="Times New Roman" w:eastAsia="方正仿宋_GBK" w:hAnsi="Times New Roman"/>
          <w:color w:val="000000"/>
          <w:sz w:val="32"/>
          <w:szCs w:val="32"/>
        </w:rPr>
        <w:t>。</w:t>
      </w:r>
    </w:p>
    <w:p w:rsidR="000719E9" w:rsidRDefault="00165C78">
      <w:pPr>
        <w:rPr>
          <w:rFonts w:ascii="Times New Roman" w:eastAsia="方正仿宋_GBK" w:hAnsi="Times New Roman"/>
          <w:color w:val="000000"/>
          <w:sz w:val="32"/>
          <w:szCs w:val="32"/>
        </w:rPr>
      </w:pPr>
      <w:r>
        <w:rPr>
          <w:rFonts w:ascii="Times New Roman" w:eastAsia="方正仿宋_GBK" w:hAnsi="Times New Roman"/>
          <w:color w:val="000000"/>
          <w:sz w:val="32"/>
          <w:szCs w:val="32"/>
        </w:rPr>
        <w:br w:type="page"/>
      </w:r>
    </w:p>
    <w:p w:rsidR="000719E9" w:rsidRDefault="000719E9">
      <w:pPr>
        <w:pStyle w:val="1"/>
        <w:sectPr w:rsidR="000719E9">
          <w:pgSz w:w="11906" w:h="16838"/>
          <w:pgMar w:top="1440" w:right="1800" w:bottom="1440" w:left="1800" w:header="851" w:footer="992" w:gutter="0"/>
          <w:cols w:space="720"/>
          <w:docGrid w:type="lines" w:linePitch="312"/>
        </w:sectPr>
      </w:pPr>
    </w:p>
    <w:p w:rsidR="000719E9" w:rsidRDefault="00165C78">
      <w:pPr>
        <w:jc w:val="center"/>
        <w:rPr>
          <w:rFonts w:ascii="黑体" w:eastAsia="黑体" w:hAnsi="黑体"/>
          <w:sz w:val="24"/>
        </w:rPr>
      </w:pPr>
      <w:r>
        <w:rPr>
          <w:rFonts w:ascii="黑体" w:eastAsia="黑体" w:hAnsi="黑体"/>
          <w:sz w:val="24"/>
        </w:rPr>
        <w:lastRenderedPageBreak/>
        <w:t>表1  土地征收成片开发范围表</w:t>
      </w:r>
    </w:p>
    <w:p w:rsidR="000719E9" w:rsidRDefault="00165C78">
      <w:pPr>
        <w:jc w:val="right"/>
        <w:rPr>
          <w:rFonts w:ascii="黑体" w:eastAsia="黑体" w:hAnsi="黑体"/>
          <w:sz w:val="24"/>
        </w:rPr>
      </w:pPr>
      <w:r>
        <w:rPr>
          <w:rFonts w:ascii="黑体" w:eastAsia="黑体" w:hAnsi="黑体"/>
          <w:sz w:val="24"/>
        </w:rPr>
        <w:t>单位：公顷</w:t>
      </w:r>
    </w:p>
    <w:tbl>
      <w:tblPr>
        <w:tblW w:w="14312" w:type="dxa"/>
        <w:tblInd w:w="113" w:type="dxa"/>
        <w:tblLook w:val="04A0" w:firstRow="1" w:lastRow="0" w:firstColumn="1" w:lastColumn="0" w:noHBand="0" w:noVBand="1"/>
      </w:tblPr>
      <w:tblGrid>
        <w:gridCol w:w="641"/>
        <w:gridCol w:w="2065"/>
        <w:gridCol w:w="1967"/>
        <w:gridCol w:w="3327"/>
        <w:gridCol w:w="1351"/>
        <w:gridCol w:w="3554"/>
        <w:gridCol w:w="1407"/>
      </w:tblGrid>
      <w:tr w:rsidR="000719E9">
        <w:trPr>
          <w:trHeight w:val="285"/>
        </w:trPr>
        <w:tc>
          <w:tcPr>
            <w:tcW w:w="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序号</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开发片区编号</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开发片区名称</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调整前</w:t>
            </w:r>
          </w:p>
        </w:tc>
        <w:tc>
          <w:tcPr>
            <w:tcW w:w="4961" w:type="dxa"/>
            <w:gridSpan w:val="2"/>
            <w:tcBorders>
              <w:top w:val="single" w:sz="4" w:space="0" w:color="auto"/>
              <w:left w:val="nil"/>
              <w:bottom w:val="single" w:sz="4" w:space="0" w:color="auto"/>
              <w:right w:val="single" w:sz="4" w:space="0" w:color="auto"/>
            </w:tcBorders>
            <w:shd w:val="clear" w:color="auto" w:fill="auto"/>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调整后</w:t>
            </w:r>
          </w:p>
        </w:tc>
      </w:tr>
      <w:tr w:rsidR="000719E9">
        <w:trPr>
          <w:trHeight w:val="285"/>
        </w:trPr>
        <w:tc>
          <w:tcPr>
            <w:tcW w:w="641" w:type="dxa"/>
            <w:vMerge/>
            <w:tcBorders>
              <w:top w:val="single" w:sz="4" w:space="0" w:color="auto"/>
              <w:left w:val="single" w:sz="4" w:space="0" w:color="auto"/>
              <w:bottom w:val="single" w:sz="4" w:space="0" w:color="auto"/>
              <w:right w:val="single" w:sz="4" w:space="0" w:color="auto"/>
            </w:tcBorders>
            <w:vAlign w:val="center"/>
          </w:tcPr>
          <w:p w:rsidR="000719E9" w:rsidRDefault="000719E9">
            <w:pPr>
              <w:widowControl/>
              <w:jc w:val="left"/>
              <w:rPr>
                <w:rFonts w:ascii="仿宋_GB2312" w:eastAsia="仿宋_GB2312" w:hAnsi="等线" w:cs="宋体"/>
                <w:b/>
                <w:bCs/>
                <w:color w:val="000000"/>
                <w:kern w:val="0"/>
                <w:szCs w:val="21"/>
              </w:rPr>
            </w:pPr>
          </w:p>
        </w:tc>
        <w:tc>
          <w:tcPr>
            <w:tcW w:w="2065" w:type="dxa"/>
            <w:vMerge/>
            <w:tcBorders>
              <w:top w:val="single" w:sz="4" w:space="0" w:color="auto"/>
              <w:left w:val="single" w:sz="4" w:space="0" w:color="auto"/>
              <w:bottom w:val="single" w:sz="4" w:space="0" w:color="auto"/>
              <w:right w:val="single" w:sz="4" w:space="0" w:color="auto"/>
            </w:tcBorders>
            <w:vAlign w:val="center"/>
          </w:tcPr>
          <w:p w:rsidR="000719E9" w:rsidRDefault="000719E9">
            <w:pPr>
              <w:widowControl/>
              <w:jc w:val="left"/>
              <w:rPr>
                <w:rFonts w:ascii="仿宋_GB2312" w:eastAsia="仿宋_GB2312" w:hAnsi="等线" w:cs="宋体"/>
                <w:b/>
                <w:bCs/>
                <w:color w:val="000000"/>
                <w:kern w:val="0"/>
                <w:szCs w:val="21"/>
              </w:rPr>
            </w:pPr>
          </w:p>
        </w:tc>
        <w:tc>
          <w:tcPr>
            <w:tcW w:w="1967" w:type="dxa"/>
            <w:vMerge/>
            <w:tcBorders>
              <w:top w:val="single" w:sz="4" w:space="0" w:color="auto"/>
              <w:left w:val="single" w:sz="4" w:space="0" w:color="auto"/>
              <w:bottom w:val="single" w:sz="4" w:space="0" w:color="auto"/>
              <w:right w:val="single" w:sz="4" w:space="0" w:color="auto"/>
            </w:tcBorders>
            <w:vAlign w:val="center"/>
          </w:tcPr>
          <w:p w:rsidR="000719E9" w:rsidRDefault="000719E9">
            <w:pPr>
              <w:widowControl/>
              <w:jc w:val="left"/>
              <w:rPr>
                <w:rFonts w:ascii="仿宋_GB2312" w:eastAsia="仿宋_GB2312" w:hAnsi="等线" w:cs="宋体"/>
                <w:b/>
                <w:bCs/>
                <w:color w:val="000000"/>
                <w:kern w:val="0"/>
                <w:szCs w:val="21"/>
              </w:rPr>
            </w:pPr>
          </w:p>
        </w:tc>
        <w:tc>
          <w:tcPr>
            <w:tcW w:w="3327" w:type="dxa"/>
            <w:tcBorders>
              <w:top w:val="nil"/>
              <w:left w:val="nil"/>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四至范围</w:t>
            </w:r>
          </w:p>
        </w:tc>
        <w:tc>
          <w:tcPr>
            <w:tcW w:w="1351" w:type="dxa"/>
            <w:tcBorders>
              <w:top w:val="nil"/>
              <w:left w:val="nil"/>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面积</w:t>
            </w:r>
          </w:p>
        </w:tc>
        <w:tc>
          <w:tcPr>
            <w:tcW w:w="3554"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四至范围</w:t>
            </w:r>
          </w:p>
        </w:tc>
        <w:tc>
          <w:tcPr>
            <w:tcW w:w="1407" w:type="dxa"/>
            <w:tcBorders>
              <w:top w:val="nil"/>
              <w:left w:val="nil"/>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面积</w:t>
            </w:r>
          </w:p>
        </w:tc>
      </w:tr>
      <w:tr w:rsidR="000719E9">
        <w:trPr>
          <w:trHeight w:val="869"/>
        </w:trPr>
        <w:tc>
          <w:tcPr>
            <w:tcW w:w="641" w:type="dxa"/>
            <w:tcBorders>
              <w:top w:val="nil"/>
              <w:left w:val="single" w:sz="4" w:space="0" w:color="auto"/>
              <w:bottom w:val="single" w:sz="4" w:space="0" w:color="auto"/>
              <w:right w:val="single" w:sz="4" w:space="0" w:color="auto"/>
            </w:tcBorders>
            <w:shd w:val="clear" w:color="auto" w:fill="auto"/>
            <w:vAlign w:val="center"/>
          </w:tcPr>
          <w:p w:rsidR="000719E9" w:rsidRDefault="00165C78">
            <w:pPr>
              <w:widowControl/>
              <w:jc w:val="center"/>
              <w:rPr>
                <w:rFonts w:ascii="Times New Roman" w:eastAsia="等线" w:hAnsi="Times New Roman"/>
                <w:color w:val="000000"/>
                <w:kern w:val="0"/>
                <w:szCs w:val="21"/>
              </w:rPr>
            </w:pPr>
            <w:r>
              <w:rPr>
                <w:rFonts w:ascii="Times New Roman" w:eastAsia="等线" w:hAnsi="Times New Roman"/>
                <w:color w:val="000000"/>
                <w:kern w:val="0"/>
                <w:szCs w:val="21"/>
              </w:rPr>
              <w:t>1</w:t>
            </w:r>
          </w:p>
        </w:tc>
        <w:tc>
          <w:tcPr>
            <w:tcW w:w="2065"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Times New Roman" w:eastAsia="等线" w:hAnsi="Times New Roman"/>
                <w:color w:val="000000"/>
                <w:kern w:val="0"/>
                <w:sz w:val="20"/>
                <w:szCs w:val="20"/>
              </w:rPr>
            </w:pPr>
            <w:r>
              <w:rPr>
                <w:rFonts w:ascii="Times New Roman" w:eastAsia="等线" w:hAnsi="Times New Roman"/>
                <w:color w:val="000000"/>
                <w:kern w:val="0"/>
                <w:sz w:val="20"/>
                <w:szCs w:val="20"/>
              </w:rPr>
              <w:t>CP320</w:t>
            </w:r>
            <w:r>
              <w:rPr>
                <w:rFonts w:ascii="Times New Roman" w:eastAsia="等线" w:hAnsi="Times New Roman" w:hint="eastAsia"/>
                <w:color w:val="000000"/>
                <w:kern w:val="0"/>
                <w:sz w:val="20"/>
                <w:szCs w:val="20"/>
              </w:rPr>
              <w:t>612</w:t>
            </w:r>
            <w:r>
              <w:rPr>
                <w:rFonts w:ascii="Times New Roman" w:eastAsia="等线" w:hAnsi="Times New Roman"/>
                <w:color w:val="000000"/>
                <w:kern w:val="0"/>
                <w:sz w:val="20"/>
                <w:szCs w:val="20"/>
              </w:rPr>
              <w:t>-202</w:t>
            </w:r>
            <w:r>
              <w:rPr>
                <w:rFonts w:ascii="Times New Roman" w:eastAsia="等线" w:hAnsi="Times New Roman" w:hint="eastAsia"/>
                <w:color w:val="000000"/>
                <w:kern w:val="0"/>
                <w:sz w:val="20"/>
                <w:szCs w:val="20"/>
              </w:rPr>
              <w:t>2</w:t>
            </w:r>
            <w:r>
              <w:rPr>
                <w:rFonts w:ascii="Times New Roman" w:eastAsia="等线" w:hAnsi="Times New Roman"/>
                <w:color w:val="000000"/>
                <w:kern w:val="0"/>
                <w:sz w:val="20"/>
                <w:szCs w:val="20"/>
              </w:rPr>
              <w:t>-01-</w:t>
            </w:r>
            <w:r>
              <w:rPr>
                <w:rFonts w:ascii="Times New Roman" w:eastAsia="等线" w:hAnsi="Times New Roman" w:hint="eastAsia"/>
                <w:color w:val="000000"/>
                <w:kern w:val="0"/>
                <w:sz w:val="20"/>
                <w:szCs w:val="20"/>
              </w:rPr>
              <w:t>17</w:t>
            </w:r>
          </w:p>
        </w:tc>
        <w:tc>
          <w:tcPr>
            <w:tcW w:w="1967"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仿宋_GB2312" w:eastAsia="仿宋_GB2312" w:hAnsi="等线" w:cs="宋体"/>
                <w:color w:val="000000"/>
                <w:kern w:val="0"/>
                <w:sz w:val="20"/>
                <w:szCs w:val="20"/>
              </w:rPr>
            </w:pPr>
            <w:bookmarkStart w:id="1" w:name="OLE_LINK1"/>
            <w:r>
              <w:rPr>
                <w:rFonts w:ascii="仿宋_GB2312" w:eastAsia="仿宋_GB2312" w:hAnsi="等线" w:cs="宋体" w:hint="eastAsia"/>
                <w:color w:val="000000"/>
                <w:kern w:val="0"/>
                <w:sz w:val="20"/>
                <w:szCs w:val="20"/>
              </w:rPr>
              <w:t>锡通科技产业园片区</w:t>
            </w:r>
            <w:bookmarkEnd w:id="1"/>
          </w:p>
        </w:tc>
        <w:tc>
          <w:tcPr>
            <w:tcW w:w="3327"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仿宋_GB2312" w:eastAsia="仿宋_GB2312" w:hAnsi="等线" w:cs="宋体"/>
                <w:color w:val="000000"/>
                <w:kern w:val="0"/>
                <w:sz w:val="20"/>
                <w:szCs w:val="20"/>
              </w:rPr>
            </w:pPr>
            <w:r>
              <w:rPr>
                <w:rFonts w:ascii="仿宋_GB2312" w:eastAsia="仿宋_GB2312" w:hAnsi="等线" w:cs="宋体" w:hint="eastAsia"/>
                <w:color w:val="000000"/>
                <w:kern w:val="0"/>
                <w:sz w:val="20"/>
                <w:szCs w:val="20"/>
              </w:rPr>
              <w:t>东至规划迎花路，南至梧桐路，西至香樟路，北至</w:t>
            </w:r>
            <w:proofErr w:type="gramStart"/>
            <w:r>
              <w:rPr>
                <w:rFonts w:ascii="仿宋_GB2312" w:eastAsia="仿宋_GB2312" w:hAnsi="等线" w:cs="宋体" w:hint="eastAsia"/>
                <w:color w:val="000000"/>
                <w:kern w:val="0"/>
                <w:sz w:val="20"/>
                <w:szCs w:val="20"/>
              </w:rPr>
              <w:t>凌霄路</w:t>
            </w:r>
            <w:proofErr w:type="gramEnd"/>
          </w:p>
        </w:tc>
        <w:tc>
          <w:tcPr>
            <w:tcW w:w="1351"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99.7746</w:t>
            </w:r>
          </w:p>
        </w:tc>
        <w:tc>
          <w:tcPr>
            <w:tcW w:w="3554"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仿宋_GB2312" w:eastAsia="仿宋_GB2312" w:hAnsi="等线" w:cs="宋体"/>
                <w:color w:val="000000"/>
                <w:kern w:val="0"/>
                <w:sz w:val="20"/>
                <w:szCs w:val="20"/>
              </w:rPr>
            </w:pPr>
            <w:r>
              <w:rPr>
                <w:rFonts w:ascii="仿宋_GB2312" w:eastAsia="仿宋_GB2312" w:hAnsi="等线" w:cs="宋体" w:hint="eastAsia"/>
                <w:color w:val="000000"/>
                <w:kern w:val="0"/>
                <w:sz w:val="20"/>
                <w:szCs w:val="20"/>
              </w:rPr>
              <w:t>东至规划迎花路，南至梧桐路，西至香樟路，北至</w:t>
            </w:r>
            <w:proofErr w:type="gramStart"/>
            <w:r>
              <w:rPr>
                <w:rFonts w:ascii="仿宋_GB2312" w:eastAsia="仿宋_GB2312" w:hAnsi="等线" w:cs="宋体" w:hint="eastAsia"/>
                <w:color w:val="000000"/>
                <w:kern w:val="0"/>
                <w:sz w:val="20"/>
                <w:szCs w:val="20"/>
              </w:rPr>
              <w:t>凌霄路</w:t>
            </w:r>
            <w:proofErr w:type="gramEnd"/>
          </w:p>
        </w:tc>
        <w:tc>
          <w:tcPr>
            <w:tcW w:w="1407" w:type="dxa"/>
            <w:tcBorders>
              <w:top w:val="nil"/>
              <w:left w:val="nil"/>
              <w:bottom w:val="single" w:sz="4" w:space="0" w:color="auto"/>
              <w:right w:val="single" w:sz="4" w:space="0" w:color="auto"/>
            </w:tcBorders>
            <w:shd w:val="clear" w:color="auto" w:fill="auto"/>
            <w:vAlign w:val="center"/>
          </w:tcPr>
          <w:p w:rsidR="000719E9" w:rsidRDefault="00165C78">
            <w:pPr>
              <w:widowControl/>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77.7770</w:t>
            </w:r>
          </w:p>
        </w:tc>
      </w:tr>
      <w:tr w:rsidR="000719E9">
        <w:trPr>
          <w:trHeight w:val="285"/>
        </w:trPr>
        <w:tc>
          <w:tcPr>
            <w:tcW w:w="80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719E9" w:rsidRDefault="00165C78">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合计</w:t>
            </w:r>
          </w:p>
        </w:tc>
        <w:tc>
          <w:tcPr>
            <w:tcW w:w="1351" w:type="dxa"/>
            <w:tcBorders>
              <w:top w:val="nil"/>
              <w:left w:val="nil"/>
              <w:bottom w:val="single" w:sz="4" w:space="0" w:color="auto"/>
              <w:right w:val="single" w:sz="4" w:space="0" w:color="auto"/>
            </w:tcBorders>
            <w:shd w:val="clear" w:color="auto" w:fill="auto"/>
            <w:noWrap/>
            <w:vAlign w:val="center"/>
          </w:tcPr>
          <w:p w:rsidR="000719E9" w:rsidRDefault="00165C78">
            <w:pPr>
              <w:widowControl/>
              <w:jc w:val="center"/>
              <w:rPr>
                <w:rFonts w:ascii="Times New Roman" w:eastAsia="等线" w:hAnsi="Times New Roman"/>
                <w:b/>
                <w:bCs/>
                <w:color w:val="000000"/>
                <w:kern w:val="0"/>
                <w:sz w:val="20"/>
                <w:szCs w:val="20"/>
              </w:rPr>
            </w:pPr>
            <w:r>
              <w:rPr>
                <w:rFonts w:ascii="Times New Roman" w:eastAsia="等线" w:hAnsi="Times New Roman" w:hint="eastAsia"/>
                <w:b/>
                <w:bCs/>
                <w:color w:val="000000"/>
                <w:kern w:val="0"/>
                <w:sz w:val="20"/>
                <w:szCs w:val="20"/>
              </w:rPr>
              <w:t>99.7746</w:t>
            </w:r>
          </w:p>
        </w:tc>
        <w:tc>
          <w:tcPr>
            <w:tcW w:w="3554" w:type="dxa"/>
            <w:tcBorders>
              <w:top w:val="nil"/>
              <w:left w:val="nil"/>
              <w:bottom w:val="single" w:sz="4" w:space="0" w:color="auto"/>
              <w:right w:val="single" w:sz="4" w:space="0" w:color="auto"/>
            </w:tcBorders>
            <w:shd w:val="clear" w:color="auto" w:fill="auto"/>
            <w:noWrap/>
            <w:vAlign w:val="center"/>
          </w:tcPr>
          <w:p w:rsidR="000719E9" w:rsidRDefault="000719E9">
            <w:pPr>
              <w:widowControl/>
              <w:jc w:val="center"/>
              <w:rPr>
                <w:rFonts w:ascii="Times New Roman" w:eastAsia="等线" w:hAnsi="Times New Roman"/>
                <w:b/>
                <w:bCs/>
                <w:color w:val="000000"/>
                <w:kern w:val="0"/>
                <w:sz w:val="20"/>
                <w:szCs w:val="20"/>
              </w:rPr>
            </w:pPr>
          </w:p>
        </w:tc>
        <w:tc>
          <w:tcPr>
            <w:tcW w:w="1407" w:type="dxa"/>
            <w:tcBorders>
              <w:top w:val="nil"/>
              <w:left w:val="nil"/>
              <w:bottom w:val="single" w:sz="4" w:space="0" w:color="auto"/>
              <w:right w:val="single" w:sz="4" w:space="0" w:color="auto"/>
            </w:tcBorders>
            <w:shd w:val="clear" w:color="auto" w:fill="auto"/>
            <w:noWrap/>
            <w:vAlign w:val="center"/>
          </w:tcPr>
          <w:p w:rsidR="000719E9" w:rsidRDefault="00165C78">
            <w:pPr>
              <w:widowControl/>
              <w:jc w:val="center"/>
              <w:rPr>
                <w:rFonts w:ascii="Times New Roman" w:eastAsia="等线" w:hAnsi="Times New Roman"/>
                <w:b/>
                <w:bCs/>
                <w:color w:val="000000"/>
                <w:kern w:val="0"/>
                <w:sz w:val="20"/>
                <w:szCs w:val="20"/>
              </w:rPr>
            </w:pPr>
            <w:r>
              <w:rPr>
                <w:rFonts w:ascii="Times New Roman" w:eastAsia="等线" w:hAnsi="Times New Roman" w:hint="eastAsia"/>
                <w:b/>
                <w:bCs/>
                <w:color w:val="000000"/>
                <w:kern w:val="0"/>
                <w:sz w:val="20"/>
                <w:szCs w:val="20"/>
              </w:rPr>
              <w:t>77.7770</w:t>
            </w:r>
          </w:p>
        </w:tc>
      </w:tr>
    </w:tbl>
    <w:p w:rsidR="000719E9" w:rsidRDefault="000719E9">
      <w:pPr>
        <w:pStyle w:val="1"/>
        <w:spacing w:before="100" w:after="120" w:line="560" w:lineRule="exact"/>
        <w:rPr>
          <w:rFonts w:ascii="方正黑体_GBK" w:eastAsia="方正黑体_GBK" w:hAnsi="方正黑体_GBK" w:cs="方正黑体_GBK"/>
          <w:b w:val="0"/>
          <w:sz w:val="32"/>
          <w:szCs w:val="32"/>
        </w:rPr>
        <w:sectPr w:rsidR="000719E9">
          <w:pgSz w:w="16838" w:h="11906" w:orient="landscape"/>
          <w:pgMar w:top="1800" w:right="1440" w:bottom="1800" w:left="1440" w:header="851" w:footer="992" w:gutter="0"/>
          <w:cols w:space="720"/>
          <w:docGrid w:type="lines" w:linePitch="312"/>
        </w:sectPr>
      </w:pPr>
    </w:p>
    <w:p w:rsidR="000719E9" w:rsidRDefault="00165C78">
      <w:pPr>
        <w:pStyle w:val="1"/>
        <w:numPr>
          <w:ilvl w:val="0"/>
          <w:numId w:val="1"/>
        </w:numPr>
        <w:spacing w:before="100" w:after="120" w:line="560" w:lineRule="exact"/>
        <w:ind w:firstLineChars="200" w:firstLine="640"/>
        <w:rPr>
          <w:rFonts w:ascii="方正黑体_GBK" w:eastAsia="方正黑体_GBK" w:hAnsi="方正黑体_GBK" w:cs="方正黑体_GBK"/>
          <w:b w:val="0"/>
          <w:sz w:val="32"/>
          <w:szCs w:val="32"/>
        </w:rPr>
      </w:pPr>
      <w:r>
        <w:rPr>
          <w:rFonts w:ascii="方正黑体_GBK" w:eastAsia="方正黑体_GBK" w:hAnsi="方正黑体_GBK" w:cs="方正黑体_GBK" w:hint="eastAsia"/>
          <w:b w:val="0"/>
          <w:sz w:val="32"/>
          <w:szCs w:val="32"/>
        </w:rPr>
        <w:lastRenderedPageBreak/>
        <w:t>成片开发的必要性</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土地征收成片开发方案的制定是落实国土空间总体规划的重要措施，有利于促进地方经济社会发展；有利于城市统一规划建设；有利于节约集约利用土地，成片开发可以在空间上连续、大面积、系统性地供给城市生产、生活的各类服务功能，充分发挥集聚效益；有利于维护被征地农民权益，政府组织统一征收有利于同区位土地的被征收人实现同地同价补偿安置，有利于公平保障被征地农民权益。</w:t>
      </w:r>
    </w:p>
    <w:p w:rsidR="000719E9" w:rsidRDefault="00165C78">
      <w:pPr>
        <w:pStyle w:val="1"/>
        <w:numPr>
          <w:ilvl w:val="0"/>
          <w:numId w:val="1"/>
        </w:numPr>
        <w:spacing w:before="100" w:after="120" w:line="560" w:lineRule="exact"/>
        <w:ind w:firstLineChars="200" w:firstLine="640"/>
        <w:rPr>
          <w:rFonts w:ascii="方正黑体_GBK" w:eastAsia="方正黑体_GBK" w:hAnsi="方正黑体_GBK" w:cs="方正黑体_GBK"/>
          <w:b w:val="0"/>
          <w:sz w:val="32"/>
          <w:szCs w:val="32"/>
        </w:rPr>
      </w:pPr>
      <w:r>
        <w:rPr>
          <w:rFonts w:ascii="方正黑体_GBK" w:eastAsia="方正黑体_GBK" w:hAnsi="方正黑体_GBK" w:cs="方正黑体_GBK" w:hint="eastAsia"/>
          <w:b w:val="0"/>
          <w:sz w:val="32"/>
          <w:szCs w:val="32"/>
        </w:rPr>
        <w:t>实施计划</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成片开发范围内拟建设项目以产业项目为主，配套建设基础设施和公共服务设施项目，计划在</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年至</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7</w:t>
      </w:r>
      <w:r>
        <w:rPr>
          <w:rFonts w:ascii="Times New Roman" w:eastAsia="方正仿宋_GBK" w:hAnsi="Times New Roman"/>
          <w:color w:val="000000"/>
          <w:sz w:val="32"/>
          <w:szCs w:val="32"/>
        </w:rPr>
        <w:t>年分批次启动土地征收工作。</w:t>
      </w:r>
    </w:p>
    <w:p w:rsidR="000719E9" w:rsidRDefault="00165C78">
      <w:pPr>
        <w:pStyle w:val="1"/>
        <w:numPr>
          <w:ilvl w:val="0"/>
          <w:numId w:val="1"/>
        </w:numPr>
        <w:spacing w:before="100" w:after="120" w:line="560" w:lineRule="exact"/>
        <w:ind w:firstLineChars="200" w:firstLine="640"/>
        <w:rPr>
          <w:rFonts w:ascii="方正黑体_GBK" w:eastAsia="方正黑体_GBK" w:hAnsi="方正黑体_GBK" w:cs="方正黑体_GBK"/>
          <w:b w:val="0"/>
          <w:sz w:val="32"/>
          <w:szCs w:val="32"/>
        </w:rPr>
      </w:pPr>
      <w:r>
        <w:rPr>
          <w:rFonts w:ascii="方正黑体_GBK" w:eastAsia="方正黑体_GBK" w:hAnsi="方正黑体_GBK" w:cs="方正黑体_GBK"/>
          <w:b w:val="0"/>
          <w:sz w:val="32"/>
          <w:szCs w:val="32"/>
        </w:rPr>
        <w:t>用地规划情况</w:t>
      </w:r>
    </w:p>
    <w:p w:rsidR="000719E9" w:rsidRDefault="00165C78">
      <w:pPr>
        <w:numPr>
          <w:ilvl w:val="0"/>
          <w:numId w:val="2"/>
        </w:numPr>
        <w:spacing w:line="560" w:lineRule="exact"/>
        <w:ind w:firstLineChars="200" w:firstLine="643"/>
        <w:outlineLvl w:val="1"/>
        <w:rPr>
          <w:rFonts w:ascii="黑体" w:eastAsia="黑体" w:hAnsi="黑体" w:cs="方正楷体_GBK"/>
          <w:b/>
          <w:sz w:val="32"/>
          <w:szCs w:val="32"/>
        </w:rPr>
      </w:pPr>
      <w:r>
        <w:rPr>
          <w:rFonts w:ascii="黑体" w:eastAsia="黑体" w:hAnsi="黑体" w:cs="方正楷体_GBK" w:hint="eastAsia"/>
          <w:b/>
          <w:sz w:val="32"/>
          <w:szCs w:val="32"/>
        </w:rPr>
        <w:t>国民经济和社会发展规划、年度计划</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本方案符合现行国民经济和社会发展规划，拟定的年度实施计划和开发时序符合国民经济和社会发展年度计划。</w:t>
      </w:r>
    </w:p>
    <w:p w:rsidR="000719E9" w:rsidRDefault="00165C78">
      <w:pPr>
        <w:numPr>
          <w:ilvl w:val="0"/>
          <w:numId w:val="2"/>
        </w:numPr>
        <w:spacing w:line="560" w:lineRule="exact"/>
        <w:ind w:firstLineChars="200" w:firstLine="643"/>
        <w:outlineLvl w:val="1"/>
        <w:rPr>
          <w:rFonts w:ascii="黑体" w:eastAsia="黑体" w:hAnsi="黑体" w:cs="方正楷体_GBK"/>
          <w:b/>
          <w:sz w:val="32"/>
          <w:szCs w:val="32"/>
        </w:rPr>
      </w:pPr>
      <w:r>
        <w:rPr>
          <w:rFonts w:ascii="黑体" w:eastAsia="黑体" w:hAnsi="黑体" w:cs="方正楷体_GBK" w:hint="eastAsia"/>
          <w:b/>
          <w:sz w:val="32"/>
          <w:szCs w:val="32"/>
        </w:rPr>
        <w:t>符合国土空间规划情况</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本方案符合现行的国土空间规划，成片开发范围均位于海安市</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三区三线</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划定成果中的城镇开发边界，不涉及永久基本农田和生态保护红线。</w:t>
      </w:r>
    </w:p>
    <w:p w:rsidR="000719E9" w:rsidRDefault="00165C78">
      <w:pPr>
        <w:widowControl/>
        <w:jc w:val="left"/>
        <w:rPr>
          <w:rFonts w:ascii="方正楷体_GBK" w:eastAsia="方正楷体_GBK" w:hAnsi="方正楷体_GBK" w:cs="方正楷体_GBK"/>
          <w:b/>
          <w:sz w:val="32"/>
          <w:szCs w:val="32"/>
        </w:rPr>
      </w:pPr>
      <w:r>
        <w:rPr>
          <w:rFonts w:ascii="方正楷体_GBK" w:eastAsia="方正楷体_GBK" w:hAnsi="方正楷体_GBK" w:cs="方正楷体_GBK" w:hint="eastAsia"/>
          <w:b/>
          <w:sz w:val="32"/>
          <w:szCs w:val="32"/>
        </w:rPr>
        <w:br w:type="page"/>
      </w:r>
    </w:p>
    <w:p w:rsidR="000719E9" w:rsidRDefault="00165C78">
      <w:pPr>
        <w:numPr>
          <w:ilvl w:val="0"/>
          <w:numId w:val="2"/>
        </w:numPr>
        <w:spacing w:line="560" w:lineRule="exact"/>
        <w:ind w:firstLineChars="200" w:firstLine="643"/>
        <w:outlineLvl w:val="1"/>
        <w:rPr>
          <w:rFonts w:ascii="黑体" w:eastAsia="黑体" w:hAnsi="黑体" w:cs="方正楷体_GBK"/>
          <w:b/>
          <w:sz w:val="32"/>
          <w:szCs w:val="32"/>
        </w:rPr>
      </w:pPr>
      <w:r>
        <w:rPr>
          <w:rFonts w:ascii="黑体" w:eastAsia="黑体" w:hAnsi="黑体" w:cs="方正楷体_GBK" w:hint="eastAsia"/>
          <w:b/>
          <w:sz w:val="32"/>
          <w:szCs w:val="32"/>
        </w:rPr>
        <w:lastRenderedPageBreak/>
        <w:t>公益性用地比例</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根据用途分区和建设项目安排，城市新区类和</w:t>
      </w:r>
      <w:proofErr w:type="gramStart"/>
      <w:r>
        <w:rPr>
          <w:rFonts w:ascii="Times New Roman" w:eastAsia="方正仿宋_GBK" w:hAnsi="Times New Roman" w:hint="eastAsia"/>
          <w:color w:val="000000"/>
          <w:sz w:val="32"/>
          <w:szCs w:val="32"/>
        </w:rPr>
        <w:t>产城融合</w:t>
      </w:r>
      <w:proofErr w:type="gramEnd"/>
      <w:r>
        <w:rPr>
          <w:rFonts w:ascii="Times New Roman" w:eastAsia="方正仿宋_GBK" w:hAnsi="Times New Roman" w:hint="eastAsia"/>
          <w:color w:val="000000"/>
          <w:sz w:val="32"/>
          <w:szCs w:val="32"/>
        </w:rPr>
        <w:t>类开发片区公益性用地比例一般不低于</w:t>
      </w:r>
      <w:r>
        <w:rPr>
          <w:rFonts w:ascii="Times New Roman" w:eastAsia="方正仿宋_GBK" w:hAnsi="Times New Roman" w:hint="eastAsia"/>
          <w:color w:val="000000"/>
          <w:sz w:val="32"/>
          <w:szCs w:val="32"/>
        </w:rPr>
        <w:t>40%</w:t>
      </w:r>
      <w:r>
        <w:rPr>
          <w:rFonts w:ascii="Times New Roman" w:eastAsia="方正仿宋_GBK" w:hAnsi="Times New Roman" w:hint="eastAsia"/>
          <w:color w:val="000000"/>
          <w:sz w:val="32"/>
          <w:szCs w:val="32"/>
        </w:rPr>
        <w:t>，工业主导型开发片区公益性用地比例不低于</w:t>
      </w:r>
      <w:r>
        <w:rPr>
          <w:rFonts w:ascii="Times New Roman" w:eastAsia="方正仿宋_GBK" w:hAnsi="Times New Roman" w:hint="eastAsia"/>
          <w:color w:val="000000"/>
          <w:sz w:val="32"/>
          <w:szCs w:val="32"/>
        </w:rPr>
        <w:t>25%</w:t>
      </w:r>
      <w:r>
        <w:rPr>
          <w:rFonts w:ascii="Times New Roman" w:eastAsia="方正仿宋_GBK" w:hAnsi="Times New Roman" w:hint="eastAsia"/>
          <w:color w:val="000000"/>
          <w:sz w:val="32"/>
          <w:szCs w:val="32"/>
        </w:rPr>
        <w:t>。本次调整方案共涉及</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个片区，均为工业主导型，调整后各片区公益性比例均符合国家和省相关文件要求。</w:t>
      </w:r>
    </w:p>
    <w:p w:rsidR="000719E9" w:rsidRDefault="00165C78">
      <w:pPr>
        <w:pStyle w:val="1"/>
        <w:numPr>
          <w:ilvl w:val="0"/>
          <w:numId w:val="1"/>
        </w:numPr>
        <w:spacing w:before="100" w:after="120" w:line="560" w:lineRule="exact"/>
        <w:ind w:firstLineChars="200" w:firstLine="640"/>
        <w:rPr>
          <w:rFonts w:ascii="方正黑体_GBK" w:eastAsia="方正黑体_GBK" w:hAnsi="方正黑体_GBK" w:cs="方正黑体_GBK"/>
          <w:b w:val="0"/>
          <w:sz w:val="32"/>
          <w:szCs w:val="32"/>
        </w:rPr>
      </w:pPr>
      <w:r>
        <w:rPr>
          <w:rFonts w:ascii="方正黑体_GBK" w:eastAsia="方正黑体_GBK" w:hAnsi="方正黑体_GBK" w:cs="方正黑体_GBK"/>
          <w:b w:val="0"/>
          <w:sz w:val="32"/>
          <w:szCs w:val="32"/>
        </w:rPr>
        <w:t>征地农民利益保障</w:t>
      </w:r>
    </w:p>
    <w:p w:rsidR="000719E9" w:rsidRDefault="00165C78">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为维护被征地农民和农村集体经济组织的合法权益，规范征地补偿程序，根据《中华人民共和国土地管理法》、《江苏省人民政府关于印发江苏省被征地农民社会保障办法的通知》（苏政发〔</w:t>
      </w:r>
      <w:r>
        <w:rPr>
          <w:rFonts w:ascii="Times New Roman" w:eastAsia="方正仿宋_GBK" w:hAnsi="Times New Roman"/>
          <w:color w:val="000000"/>
          <w:sz w:val="32"/>
          <w:szCs w:val="32"/>
        </w:rPr>
        <w:t>2021</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87</w:t>
      </w:r>
      <w:r>
        <w:rPr>
          <w:rFonts w:ascii="Times New Roman" w:eastAsia="方正仿宋_GBK" w:hAnsi="Times New Roman"/>
          <w:color w:val="000000"/>
          <w:sz w:val="32"/>
          <w:szCs w:val="32"/>
        </w:rPr>
        <w:t>号）、《省政府关于</w:t>
      </w:r>
      <w:r>
        <w:rPr>
          <w:rFonts w:ascii="Times New Roman" w:eastAsia="方正仿宋_GBK" w:hAnsi="Times New Roman" w:hint="eastAsia"/>
          <w:color w:val="000000"/>
          <w:sz w:val="32"/>
          <w:szCs w:val="32"/>
        </w:rPr>
        <w:t>重新公布江苏省征地区片综合地价最低标准的通知</w:t>
      </w:r>
      <w:r>
        <w:rPr>
          <w:rFonts w:ascii="Times New Roman" w:eastAsia="方正仿宋_GBK" w:hAnsi="Times New Roman"/>
          <w:color w:val="000000"/>
          <w:sz w:val="32"/>
          <w:szCs w:val="32"/>
        </w:rPr>
        <w:t>》（苏政</w:t>
      </w:r>
      <w:proofErr w:type="gramStart"/>
      <w:r>
        <w:rPr>
          <w:rFonts w:ascii="Times New Roman" w:eastAsia="方正仿宋_GBK" w:hAnsi="Times New Roman" w:hint="eastAsia"/>
          <w:color w:val="000000"/>
          <w:sz w:val="32"/>
          <w:szCs w:val="32"/>
        </w:rPr>
        <w:t>规</w:t>
      </w:r>
      <w:proofErr w:type="gramEnd"/>
      <w:r>
        <w:rPr>
          <w:rFonts w:ascii="Times New Roman" w:eastAsia="方正仿宋_GBK" w:hAnsi="Times New Roman"/>
          <w:color w:val="000000"/>
          <w:sz w:val="32"/>
          <w:szCs w:val="32"/>
        </w:rPr>
        <w:t>〔</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3</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12</w:t>
      </w:r>
      <w:r>
        <w:rPr>
          <w:rFonts w:ascii="Times New Roman" w:eastAsia="方正仿宋_GBK" w:hAnsi="Times New Roman"/>
          <w:color w:val="000000"/>
          <w:sz w:val="32"/>
          <w:szCs w:val="32"/>
        </w:rPr>
        <w:t>号）等规定开展工作。</w:t>
      </w:r>
    </w:p>
    <w:p w:rsidR="000719E9" w:rsidRDefault="00165C78">
      <w:pPr>
        <w:pStyle w:val="1"/>
      </w:pPr>
      <w:r>
        <w:br w:type="page"/>
      </w:r>
    </w:p>
    <w:p w:rsidR="000719E9" w:rsidRDefault="00165C78">
      <w:pPr>
        <w:keepNext/>
      </w:pPr>
      <w:r>
        <w:rPr>
          <w:rFonts w:ascii="Times New Roman" w:eastAsia="仿宋_GB2312" w:hAnsi="Times New Roman"/>
          <w:noProof/>
          <w:sz w:val="28"/>
          <w:szCs w:val="28"/>
        </w:rPr>
        <w:lastRenderedPageBreak/>
        <w:drawing>
          <wp:inline distT="0" distB="0" distL="0" distR="0">
            <wp:extent cx="5273675" cy="3728720"/>
            <wp:effectExtent l="0" t="0" r="3175" b="5080"/>
            <wp:docPr id="20" name="图片 20" descr="G:/05成片开发/1114通州调整/成果数据/出图/文本出图/示意图_调整前后.jpg示意图_调整前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G:/05成片开发/1114通州调整/成果数据/出图/文本出图/示意图_调整前后.jpg示意图_调整前后"/>
                    <pic:cNvPicPr>
                      <a:picLocks noChangeAspect="1"/>
                    </pic:cNvPicPr>
                  </pic:nvPicPr>
                  <pic:blipFill>
                    <a:blip r:embed="rId9"/>
                    <a:srcRect t="6" b="6"/>
                    <a:stretch>
                      <a:fillRect/>
                    </a:stretch>
                  </pic:blipFill>
                  <pic:spPr>
                    <a:xfrm>
                      <a:off x="0" y="0"/>
                      <a:ext cx="5273675" cy="3729353"/>
                    </a:xfrm>
                    <a:prstGeom prst="rect">
                      <a:avLst/>
                    </a:prstGeom>
                  </pic:spPr>
                </pic:pic>
              </a:graphicData>
            </a:graphic>
          </wp:inline>
        </w:drawing>
      </w:r>
    </w:p>
    <w:p w:rsidR="000719E9" w:rsidRDefault="00165C78">
      <w:pPr>
        <w:pStyle w:val="a3"/>
        <w:jc w:val="center"/>
        <w:rPr>
          <w:sz w:val="21"/>
        </w:rPr>
      </w:pPr>
      <w:r>
        <w:rPr>
          <w:rFonts w:ascii="黑体" w:hAnsi="黑体"/>
          <w:sz w:val="21"/>
        </w:rPr>
        <w:t>图</w:t>
      </w:r>
      <w:r>
        <w:rPr>
          <w:rFonts w:ascii="黑体" w:hAnsi="黑体" w:hint="eastAsia"/>
          <w:sz w:val="21"/>
        </w:rPr>
        <w:t>1</w:t>
      </w:r>
      <w:r>
        <w:rPr>
          <w:sz w:val="21"/>
        </w:rPr>
        <w:t xml:space="preserve"> </w:t>
      </w:r>
      <w:r>
        <w:rPr>
          <w:rFonts w:hint="eastAsia"/>
          <w:sz w:val="21"/>
        </w:rPr>
        <w:t>锡通科技产业园片区调整范围示意图</w:t>
      </w:r>
    </w:p>
    <w:p w:rsidR="000719E9" w:rsidRDefault="000719E9"/>
    <w:p w:rsidR="000719E9" w:rsidRDefault="000719E9"/>
    <w:p w:rsidR="000719E9" w:rsidRDefault="000719E9"/>
    <w:sectPr w:rsidR="000719E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8E" w:rsidRDefault="00144F8E" w:rsidP="00EF4E11">
      <w:r>
        <w:separator/>
      </w:r>
    </w:p>
  </w:endnote>
  <w:endnote w:type="continuationSeparator" w:id="0">
    <w:p w:rsidR="00144F8E" w:rsidRDefault="00144F8E" w:rsidP="00EF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方正楷体_GBK">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8E" w:rsidRDefault="00144F8E" w:rsidP="00EF4E11">
      <w:r>
        <w:separator/>
      </w:r>
    </w:p>
  </w:footnote>
  <w:footnote w:type="continuationSeparator" w:id="0">
    <w:p w:rsidR="00144F8E" w:rsidRDefault="00144F8E" w:rsidP="00EF4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5FD8A"/>
    <w:multiLevelType w:val="singleLevel"/>
    <w:tmpl w:val="8655FD8A"/>
    <w:lvl w:ilvl="0">
      <w:start w:val="1"/>
      <w:numFmt w:val="chineseCounting"/>
      <w:suff w:val="nothing"/>
      <w:lvlText w:val="（%1）"/>
      <w:lvlJc w:val="left"/>
      <w:rPr>
        <w:rFonts w:hint="eastAsia"/>
      </w:rPr>
    </w:lvl>
  </w:abstractNum>
  <w:abstractNum w:abstractNumId="1">
    <w:nsid w:val="9A98D500"/>
    <w:multiLevelType w:val="singleLevel"/>
    <w:tmpl w:val="9A98D50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YjAxNWJkZGUyYTY5NzkwMDY3MjFmNTdlMWRiMGEifQ=="/>
  </w:docVars>
  <w:rsids>
    <w:rsidRoot w:val="13F24539"/>
    <w:rsid w:val="00002CAA"/>
    <w:rsid w:val="000318E0"/>
    <w:rsid w:val="0004753B"/>
    <w:rsid w:val="000719E9"/>
    <w:rsid w:val="0008297A"/>
    <w:rsid w:val="00090B5C"/>
    <w:rsid w:val="000A1443"/>
    <w:rsid w:val="000A6342"/>
    <w:rsid w:val="000A6CFC"/>
    <w:rsid w:val="000E3425"/>
    <w:rsid w:val="000F75B9"/>
    <w:rsid w:val="00104523"/>
    <w:rsid w:val="00111A2D"/>
    <w:rsid w:val="00127BD4"/>
    <w:rsid w:val="00144F8E"/>
    <w:rsid w:val="0016088D"/>
    <w:rsid w:val="00165C78"/>
    <w:rsid w:val="0017143C"/>
    <w:rsid w:val="001761B2"/>
    <w:rsid w:val="00180B0A"/>
    <w:rsid w:val="001835A0"/>
    <w:rsid w:val="00191897"/>
    <w:rsid w:val="001B76C8"/>
    <w:rsid w:val="001C13F8"/>
    <w:rsid w:val="001E11EC"/>
    <w:rsid w:val="001E225E"/>
    <w:rsid w:val="00201B41"/>
    <w:rsid w:val="00212A2F"/>
    <w:rsid w:val="00244FD7"/>
    <w:rsid w:val="002A2831"/>
    <w:rsid w:val="002C56EB"/>
    <w:rsid w:val="002E2666"/>
    <w:rsid w:val="002F250E"/>
    <w:rsid w:val="002F5F01"/>
    <w:rsid w:val="002F74BD"/>
    <w:rsid w:val="003057AE"/>
    <w:rsid w:val="00315583"/>
    <w:rsid w:val="00326951"/>
    <w:rsid w:val="00375C47"/>
    <w:rsid w:val="00380982"/>
    <w:rsid w:val="00382935"/>
    <w:rsid w:val="003976E7"/>
    <w:rsid w:val="003B2A03"/>
    <w:rsid w:val="003C3FB1"/>
    <w:rsid w:val="003D5D95"/>
    <w:rsid w:val="003D7847"/>
    <w:rsid w:val="00406C83"/>
    <w:rsid w:val="0041277D"/>
    <w:rsid w:val="00423956"/>
    <w:rsid w:val="00442033"/>
    <w:rsid w:val="00444977"/>
    <w:rsid w:val="00490640"/>
    <w:rsid w:val="004975BE"/>
    <w:rsid w:val="004A4522"/>
    <w:rsid w:val="004A76E8"/>
    <w:rsid w:val="004B5B9E"/>
    <w:rsid w:val="004C2F1A"/>
    <w:rsid w:val="004E286D"/>
    <w:rsid w:val="00506A87"/>
    <w:rsid w:val="0050708A"/>
    <w:rsid w:val="005102DE"/>
    <w:rsid w:val="00523C69"/>
    <w:rsid w:val="00524778"/>
    <w:rsid w:val="00525061"/>
    <w:rsid w:val="00526C0D"/>
    <w:rsid w:val="005470F5"/>
    <w:rsid w:val="00566A50"/>
    <w:rsid w:val="00572A59"/>
    <w:rsid w:val="005748F8"/>
    <w:rsid w:val="005865DB"/>
    <w:rsid w:val="00586A71"/>
    <w:rsid w:val="005C265D"/>
    <w:rsid w:val="005D0A7F"/>
    <w:rsid w:val="005E3226"/>
    <w:rsid w:val="0061289C"/>
    <w:rsid w:val="006227EC"/>
    <w:rsid w:val="0063170D"/>
    <w:rsid w:val="006425FF"/>
    <w:rsid w:val="00673B4C"/>
    <w:rsid w:val="00673BBF"/>
    <w:rsid w:val="006846D6"/>
    <w:rsid w:val="006B7F1D"/>
    <w:rsid w:val="006C6A0A"/>
    <w:rsid w:val="006E12A2"/>
    <w:rsid w:val="006E5E73"/>
    <w:rsid w:val="007156D6"/>
    <w:rsid w:val="00740918"/>
    <w:rsid w:val="007900FE"/>
    <w:rsid w:val="00797B1C"/>
    <w:rsid w:val="007A3769"/>
    <w:rsid w:val="007A6B71"/>
    <w:rsid w:val="007D4961"/>
    <w:rsid w:val="007D7F0D"/>
    <w:rsid w:val="007F0656"/>
    <w:rsid w:val="007F275D"/>
    <w:rsid w:val="0080424E"/>
    <w:rsid w:val="00814526"/>
    <w:rsid w:val="00825BDE"/>
    <w:rsid w:val="00830E59"/>
    <w:rsid w:val="00840BD1"/>
    <w:rsid w:val="00856199"/>
    <w:rsid w:val="008609A8"/>
    <w:rsid w:val="00872B3C"/>
    <w:rsid w:val="00877FEA"/>
    <w:rsid w:val="008822E6"/>
    <w:rsid w:val="00887939"/>
    <w:rsid w:val="00894CEB"/>
    <w:rsid w:val="008A3486"/>
    <w:rsid w:val="008A3BD7"/>
    <w:rsid w:val="008C33BB"/>
    <w:rsid w:val="008F3B09"/>
    <w:rsid w:val="00915BC2"/>
    <w:rsid w:val="0091603D"/>
    <w:rsid w:val="00922E7C"/>
    <w:rsid w:val="009307F6"/>
    <w:rsid w:val="00937A2C"/>
    <w:rsid w:val="00947015"/>
    <w:rsid w:val="00966AFD"/>
    <w:rsid w:val="00982067"/>
    <w:rsid w:val="00997D8D"/>
    <w:rsid w:val="009A2304"/>
    <w:rsid w:val="009A4131"/>
    <w:rsid w:val="009B3ACB"/>
    <w:rsid w:val="009C24D2"/>
    <w:rsid w:val="009C37E4"/>
    <w:rsid w:val="009D3A45"/>
    <w:rsid w:val="009F4493"/>
    <w:rsid w:val="00A11C6E"/>
    <w:rsid w:val="00A43F8F"/>
    <w:rsid w:val="00A574C0"/>
    <w:rsid w:val="00A628FA"/>
    <w:rsid w:val="00A65851"/>
    <w:rsid w:val="00A7175C"/>
    <w:rsid w:val="00A72B68"/>
    <w:rsid w:val="00AA4D0E"/>
    <w:rsid w:val="00AA6396"/>
    <w:rsid w:val="00AB7A7E"/>
    <w:rsid w:val="00B015F5"/>
    <w:rsid w:val="00B127AF"/>
    <w:rsid w:val="00B21A13"/>
    <w:rsid w:val="00B31948"/>
    <w:rsid w:val="00B7744D"/>
    <w:rsid w:val="00B8351E"/>
    <w:rsid w:val="00B8488E"/>
    <w:rsid w:val="00B937E4"/>
    <w:rsid w:val="00BB30C9"/>
    <w:rsid w:val="00BF2D31"/>
    <w:rsid w:val="00BF50D6"/>
    <w:rsid w:val="00BF79A0"/>
    <w:rsid w:val="00C22C5F"/>
    <w:rsid w:val="00C234F0"/>
    <w:rsid w:val="00C267C8"/>
    <w:rsid w:val="00C52B73"/>
    <w:rsid w:val="00C62D03"/>
    <w:rsid w:val="00C81544"/>
    <w:rsid w:val="00D104EB"/>
    <w:rsid w:val="00D11379"/>
    <w:rsid w:val="00D545FC"/>
    <w:rsid w:val="00D85005"/>
    <w:rsid w:val="00D94B57"/>
    <w:rsid w:val="00D97679"/>
    <w:rsid w:val="00DA2A51"/>
    <w:rsid w:val="00DE1FA2"/>
    <w:rsid w:val="00E126BE"/>
    <w:rsid w:val="00E479F8"/>
    <w:rsid w:val="00E62973"/>
    <w:rsid w:val="00E72A2B"/>
    <w:rsid w:val="00E867B5"/>
    <w:rsid w:val="00EA76C7"/>
    <w:rsid w:val="00EC6EFB"/>
    <w:rsid w:val="00ED2402"/>
    <w:rsid w:val="00ED3FD0"/>
    <w:rsid w:val="00EF4D2E"/>
    <w:rsid w:val="00EF4E11"/>
    <w:rsid w:val="00F137C9"/>
    <w:rsid w:val="00F179E1"/>
    <w:rsid w:val="00F20840"/>
    <w:rsid w:val="00F33210"/>
    <w:rsid w:val="00F40B6D"/>
    <w:rsid w:val="00F42809"/>
    <w:rsid w:val="00F804CA"/>
    <w:rsid w:val="00F8413D"/>
    <w:rsid w:val="00FB2307"/>
    <w:rsid w:val="00FC3A46"/>
    <w:rsid w:val="00FF363E"/>
    <w:rsid w:val="00FF70B8"/>
    <w:rsid w:val="07C471B2"/>
    <w:rsid w:val="1195437E"/>
    <w:rsid w:val="13F24539"/>
    <w:rsid w:val="141B1B6C"/>
    <w:rsid w:val="1AE44172"/>
    <w:rsid w:val="20CA2AF7"/>
    <w:rsid w:val="26C919F1"/>
    <w:rsid w:val="291E7145"/>
    <w:rsid w:val="38480286"/>
    <w:rsid w:val="38A44BBB"/>
    <w:rsid w:val="3C25608E"/>
    <w:rsid w:val="3D641C85"/>
    <w:rsid w:val="3E4B00D1"/>
    <w:rsid w:val="4A532736"/>
    <w:rsid w:val="4F5376C4"/>
    <w:rsid w:val="52242D59"/>
    <w:rsid w:val="62422BBD"/>
    <w:rsid w:val="64047670"/>
    <w:rsid w:val="64952E62"/>
    <w:rsid w:val="64A73DC7"/>
    <w:rsid w:val="64D25D71"/>
    <w:rsid w:val="6D557CDF"/>
    <w:rsid w:val="6F494AAA"/>
    <w:rsid w:val="707F7273"/>
    <w:rsid w:val="71CD3A53"/>
    <w:rsid w:val="72CC2526"/>
    <w:rsid w:val="7840538D"/>
    <w:rsid w:val="7A4A4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semiHidden="0"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qFormat/>
    <w:pPr>
      <w:jc w:val="left"/>
    </w:pPr>
  </w:style>
  <w:style w:type="paragraph" w:styleId="a5">
    <w:name w:val="Balloon Text"/>
    <w:basedOn w:val="a"/>
    <w:link w:val="Char"/>
    <w:semiHidden/>
    <w:unhideWhenUsed/>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2"/>
    <w:qFormat/>
    <w:pPr>
      <w:spacing w:before="240" w:after="60"/>
      <w:jc w:val="center"/>
      <w:outlineLvl w:val="0"/>
    </w:pPr>
    <w:rPr>
      <w:rFonts w:asciiTheme="majorHAnsi" w:eastAsiaTheme="majorEastAsia" w:hAnsiTheme="majorHAnsi" w:cstheme="majorBidi"/>
      <w:b/>
      <w:bCs/>
      <w:sz w:val="3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qFormat/>
    <w:rPr>
      <w:rFonts w:ascii="Calibri" w:hAnsi="Calibri"/>
      <w:kern w:val="2"/>
      <w:sz w:val="18"/>
      <w:szCs w:val="18"/>
    </w:rPr>
  </w:style>
  <w:style w:type="character" w:customStyle="1" w:styleId="Char0">
    <w:name w:val="页脚 Char"/>
    <w:basedOn w:val="a0"/>
    <w:link w:val="a6"/>
    <w:qFormat/>
    <w:rPr>
      <w:rFonts w:ascii="Calibri" w:hAnsi="Calibri"/>
      <w:kern w:val="2"/>
      <w:sz w:val="18"/>
      <w:szCs w:val="18"/>
    </w:rPr>
  </w:style>
  <w:style w:type="character" w:customStyle="1" w:styleId="Char2">
    <w:name w:val="标题 Char"/>
    <w:basedOn w:val="a0"/>
    <w:link w:val="a8"/>
    <w:qFormat/>
    <w:rPr>
      <w:rFonts w:asciiTheme="majorHAnsi" w:eastAsiaTheme="majorEastAsia" w:hAnsiTheme="majorHAnsi" w:cstheme="majorBidi"/>
      <w:b/>
      <w:bCs/>
      <w:kern w:val="2"/>
      <w:sz w:val="32"/>
      <w:szCs w:val="32"/>
    </w:rPr>
  </w:style>
  <w:style w:type="character" w:customStyle="1" w:styleId="Char">
    <w:name w:val="批注框文本 Char"/>
    <w:basedOn w:val="a0"/>
    <w:link w:val="a5"/>
    <w:semiHidden/>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semiHidden="0"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qFormat/>
    <w:pPr>
      <w:jc w:val="left"/>
    </w:pPr>
  </w:style>
  <w:style w:type="paragraph" w:styleId="a5">
    <w:name w:val="Balloon Text"/>
    <w:basedOn w:val="a"/>
    <w:link w:val="Char"/>
    <w:semiHidden/>
    <w:unhideWhenUsed/>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2"/>
    <w:qFormat/>
    <w:pPr>
      <w:spacing w:before="240" w:after="60"/>
      <w:jc w:val="center"/>
      <w:outlineLvl w:val="0"/>
    </w:pPr>
    <w:rPr>
      <w:rFonts w:asciiTheme="majorHAnsi" w:eastAsiaTheme="majorEastAsia" w:hAnsiTheme="majorHAnsi" w:cstheme="majorBidi"/>
      <w:b/>
      <w:bCs/>
      <w:sz w:val="3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qFormat/>
    <w:rPr>
      <w:rFonts w:ascii="Calibri" w:hAnsi="Calibri"/>
      <w:kern w:val="2"/>
      <w:sz w:val="18"/>
      <w:szCs w:val="18"/>
    </w:rPr>
  </w:style>
  <w:style w:type="character" w:customStyle="1" w:styleId="Char0">
    <w:name w:val="页脚 Char"/>
    <w:basedOn w:val="a0"/>
    <w:link w:val="a6"/>
    <w:qFormat/>
    <w:rPr>
      <w:rFonts w:ascii="Calibri" w:hAnsi="Calibri"/>
      <w:kern w:val="2"/>
      <w:sz w:val="18"/>
      <w:szCs w:val="18"/>
    </w:rPr>
  </w:style>
  <w:style w:type="character" w:customStyle="1" w:styleId="Char2">
    <w:name w:val="标题 Char"/>
    <w:basedOn w:val="a0"/>
    <w:link w:val="a8"/>
    <w:qFormat/>
    <w:rPr>
      <w:rFonts w:asciiTheme="majorHAnsi" w:eastAsiaTheme="majorEastAsia" w:hAnsiTheme="majorHAnsi" w:cstheme="majorBidi"/>
      <w:b/>
      <w:bCs/>
      <w:kern w:val="2"/>
      <w:sz w:val="32"/>
      <w:szCs w:val="32"/>
    </w:rPr>
  </w:style>
  <w:style w:type="character" w:customStyle="1" w:styleId="Char">
    <w:name w:val="批注框文本 Char"/>
    <w:basedOn w:val="a0"/>
    <w:link w:val="a5"/>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B697B-77F7-4A70-AEF2-2B1A3AB8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213</Words>
  <Characters>1215</Characters>
  <Application>Microsoft Office Word</Application>
  <DocSecurity>0</DocSecurity>
  <Lines>10</Lines>
  <Paragraphs>2</Paragraphs>
  <ScaleCrop>false</ScaleCrop>
  <Company>Microsoft</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huaer327</dc:creator>
  <cp:lastModifiedBy>敖文翰</cp:lastModifiedBy>
  <cp:revision>35</cp:revision>
  <cp:lastPrinted>2024-10-22T10:08:00Z</cp:lastPrinted>
  <dcterms:created xsi:type="dcterms:W3CDTF">2024-08-20T07:04:00Z</dcterms:created>
  <dcterms:modified xsi:type="dcterms:W3CDTF">2024-11-26T07:19:00Z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9E470B27DA794F039BE0381B559A362F_13</vt:lpwstr>
  </property>
</Properties>
</file>